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1F" w:rsidRPr="005E209B" w:rsidRDefault="00EF0A39" w:rsidP="00EF0A39">
      <w:pPr>
        <w:pStyle w:val="Heading1"/>
        <w:bidi w:val="0"/>
        <w:jc w:val="center"/>
        <w:rPr>
          <w:rFonts w:asciiTheme="majorBidi" w:hAnsiTheme="majorBidi"/>
          <w:noProof/>
          <w:color w:val="auto"/>
          <w:sz w:val="36"/>
          <w:szCs w:val="36"/>
        </w:rPr>
      </w:pPr>
      <w:bookmarkStart w:id="0" w:name="_Toc263093736"/>
      <w:r>
        <w:rPr>
          <w:rFonts w:asciiTheme="majorBidi" w:hAnsiTheme="majorBidi"/>
          <w:color w:val="auto"/>
          <w:sz w:val="36"/>
          <w:szCs w:val="36"/>
        </w:rPr>
        <w:t>5</w:t>
      </w:r>
      <w:r w:rsidR="00327B1F" w:rsidRPr="005E209B">
        <w:rPr>
          <w:rFonts w:asciiTheme="majorBidi" w:hAnsiTheme="majorBidi"/>
          <w:color w:val="auto"/>
          <w:sz w:val="36"/>
          <w:szCs w:val="36"/>
        </w:rPr>
        <w:t xml:space="preserve">. </w:t>
      </w:r>
      <w:bookmarkEnd w:id="0"/>
      <w:r w:rsidR="00B00BFA">
        <w:rPr>
          <w:rFonts w:asciiTheme="majorBidi" w:hAnsiTheme="majorBidi"/>
          <w:color w:val="auto"/>
          <w:sz w:val="36"/>
          <w:szCs w:val="36"/>
        </w:rPr>
        <w:t>ENERGY</w:t>
      </w:r>
    </w:p>
    <w:p w:rsidR="006A08D0" w:rsidRPr="00FF61F1" w:rsidRDefault="00BD5C80" w:rsidP="006A08D0">
      <w:pPr>
        <w:bidi w:val="0"/>
        <w:jc w:val="both"/>
        <w:rPr>
          <w:noProof/>
          <w:sz w:val="22"/>
          <w:szCs w:val="22"/>
        </w:rPr>
      </w:pPr>
      <w:r>
        <w:rPr>
          <w:noProof/>
          <w:sz w:val="22"/>
          <w:szCs w:val="22"/>
          <w:lang w:eastAsia="en-US" w:bidi="ar-SA"/>
        </w:rPr>
        <w:pict>
          <v:shapetype id="_x0000_t202" coordsize="21600,21600" o:spt="202" path="m,l,21600r21600,l21600,xe">
            <v:stroke joinstyle="miter"/>
            <v:path gradientshapeok="t" o:connecttype="rect"/>
          </v:shapetype>
          <v:shape id="_x0000_s1713" type="#_x0000_t202" style="position:absolute;left:0;text-align:left;margin-left:-1.35pt;margin-top:7.5pt;width:480.55pt;height:31.3pt;z-index:251821056" fillcolor="#95b3d7 [1940]" strokecolor="#95b3d7 [1940]" strokeweight="1pt">
            <v:fill color2="#dbe5f1 [660]" angle="-45" focusposition=".5,.5" focussize="" focus="-50%" type="gradient"/>
            <v:shadow on="t" type="perspective" color="#243f60 [1604]" opacity=".5" offset="1pt" offset2="-3pt"/>
            <v:textbox style="mso-next-textbox:#_x0000_s1713">
              <w:txbxContent>
                <w:p w:rsidR="00B30791" w:rsidRPr="00D77D35" w:rsidRDefault="00B30791" w:rsidP="00D8640C">
                  <w:pPr>
                    <w:bidi w:val="0"/>
                    <w:jc w:val="center"/>
                    <w:rPr>
                      <w:b/>
                      <w:bCs/>
                      <w:i/>
                      <w:iCs/>
                      <w:color w:val="002060"/>
                      <w:sz w:val="20"/>
                      <w:szCs w:val="20"/>
                      <w:lang w:val="en-GB"/>
                    </w:rPr>
                  </w:pPr>
                  <w:r w:rsidRPr="00D77D35">
                    <w:rPr>
                      <w:b/>
                      <w:bCs/>
                      <w:i/>
                      <w:iCs/>
                      <w:noProof/>
                      <w:color w:val="002060"/>
                      <w:sz w:val="20"/>
                      <w:szCs w:val="20"/>
                      <w:lang w:val="en-GB"/>
                    </w:rPr>
                    <w:t>Energy deals with Electricité du Liban activity, imports,  tariffs, and wharehouse activity of petroleum products, and grographic distribution of hydrocarbon statistics</w:t>
                  </w:r>
                  <w:r w:rsidRPr="00D77D35">
                    <w:rPr>
                      <w:b/>
                      <w:bCs/>
                      <w:i/>
                      <w:iCs/>
                      <w:color w:val="002060"/>
                      <w:sz w:val="20"/>
                      <w:szCs w:val="20"/>
                      <w:lang w:val="en-GB"/>
                    </w:rPr>
                    <w:t>.</w:t>
                  </w:r>
                </w:p>
              </w:txbxContent>
            </v:textbox>
            <w10:wrap anchorx="page"/>
          </v:shape>
        </w:pict>
      </w:r>
    </w:p>
    <w:p w:rsidR="00B65874" w:rsidRPr="00FF61F1" w:rsidRDefault="00B65874" w:rsidP="00B65874">
      <w:pPr>
        <w:bidi w:val="0"/>
        <w:jc w:val="both"/>
        <w:rPr>
          <w:noProof/>
          <w:sz w:val="22"/>
          <w:szCs w:val="22"/>
        </w:rPr>
      </w:pPr>
    </w:p>
    <w:p w:rsidR="00B65874" w:rsidRPr="00FF61F1" w:rsidRDefault="00B65874" w:rsidP="006A08D0">
      <w:pPr>
        <w:bidi w:val="0"/>
        <w:jc w:val="center"/>
        <w:outlineLvl w:val="0"/>
        <w:rPr>
          <w:b/>
          <w:bCs/>
          <w:i/>
          <w:iCs/>
          <w:sz w:val="26"/>
          <w:szCs w:val="26"/>
        </w:rPr>
      </w:pPr>
    </w:p>
    <w:p w:rsidR="00B65874" w:rsidRPr="00D77072" w:rsidRDefault="00B65874" w:rsidP="00B65874">
      <w:pPr>
        <w:bidi w:val="0"/>
        <w:jc w:val="center"/>
        <w:outlineLvl w:val="0"/>
        <w:rPr>
          <w:b/>
          <w:bCs/>
          <w:i/>
          <w:iCs/>
          <w:sz w:val="20"/>
          <w:szCs w:val="20"/>
        </w:rPr>
      </w:pPr>
    </w:p>
    <w:p w:rsidR="006A08D0" w:rsidRPr="00F00653" w:rsidRDefault="006A08D0" w:rsidP="00A00557">
      <w:pPr>
        <w:bidi w:val="0"/>
        <w:jc w:val="center"/>
        <w:outlineLvl w:val="0"/>
        <w:rPr>
          <w:b/>
          <w:bCs/>
          <w:sz w:val="26"/>
          <w:szCs w:val="26"/>
          <w:lang w:val="fr-FR"/>
        </w:rPr>
      </w:pPr>
      <w:bookmarkStart w:id="1" w:name="_Toc263093745"/>
      <w:r w:rsidRPr="007B79B5">
        <w:rPr>
          <w:b/>
          <w:bCs/>
          <w:sz w:val="26"/>
          <w:szCs w:val="26"/>
          <w:lang w:val="fr-FR"/>
        </w:rPr>
        <w:t>Electricité du Liban</w:t>
      </w:r>
      <w:bookmarkEnd w:id="1"/>
      <w:r w:rsidR="00061BF7" w:rsidRPr="007B79B5">
        <w:rPr>
          <w:b/>
          <w:bCs/>
          <w:sz w:val="26"/>
          <w:szCs w:val="26"/>
          <w:lang w:val="fr-FR"/>
        </w:rPr>
        <w:t xml:space="preserve"> in 2010</w:t>
      </w:r>
    </w:p>
    <w:p w:rsidR="000B28FF" w:rsidRDefault="00BD5C80" w:rsidP="000B28FF">
      <w:pPr>
        <w:bidi w:val="0"/>
        <w:rPr>
          <w:noProof/>
          <w:sz w:val="22"/>
          <w:szCs w:val="22"/>
          <w:lang w:eastAsia="en-US" w:bidi="ar-SA"/>
        </w:rPr>
      </w:pPr>
      <w:r>
        <w:rPr>
          <w:noProof/>
          <w:sz w:val="22"/>
          <w:szCs w:val="22"/>
          <w:lang w:eastAsia="en-US" w:bidi="ar-SA"/>
        </w:rPr>
        <w:pict>
          <v:shape id="_x0000_s1695" type="#_x0000_t202" style="position:absolute;margin-left:4.2pt;margin-top:11.6pt;width:228.85pt;height:146.3pt;z-index:251814912" strokecolor="#002060">
            <v:shadow on="t" opacity=".5" offset="-6pt,-6pt"/>
            <v:textbox style="mso-next-textbox:#_x0000_s1695">
              <w:txbxContent>
                <w:p w:rsidR="00B30791" w:rsidRPr="000E6609" w:rsidRDefault="00B30791" w:rsidP="000E6609">
                  <w:pPr>
                    <w:bidi w:val="0"/>
                    <w:jc w:val="center"/>
                    <w:rPr>
                      <w:sz w:val="4"/>
                      <w:szCs w:val="4"/>
                    </w:rPr>
                  </w:pPr>
                </w:p>
                <w:p w:rsidR="00B30791" w:rsidRDefault="00B30791" w:rsidP="007B5AAF">
                  <w:pPr>
                    <w:bidi w:val="0"/>
                    <w:jc w:val="center"/>
                    <w:rPr>
                      <w:b/>
                      <w:bCs/>
                      <w:i/>
                      <w:iCs/>
                      <w:sz w:val="20"/>
                      <w:szCs w:val="20"/>
                      <w:lang w:val="fr-FR"/>
                    </w:rPr>
                  </w:pPr>
                  <w:r>
                    <w:rPr>
                      <w:noProof/>
                      <w:lang w:eastAsia="en-US" w:bidi="ar-SA"/>
                    </w:rPr>
                    <w:drawing>
                      <wp:inline distT="0" distB="0" distL="0" distR="0">
                        <wp:extent cx="2709518" cy="1550822"/>
                        <wp:effectExtent l="19050" t="0" r="0" b="0"/>
                        <wp:docPr id="19" name="fpGalleryMainImg_438" descr="http://www.edl.gov.lb/PHOTO/Z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GalleryMainImg_438" descr="http://www.edl.gov.lb/PHOTO/Zouk.jpg"/>
                                <pic:cNvPicPr>
                                  <a:picLocks noChangeAspect="1" noChangeArrowheads="1"/>
                                </pic:cNvPicPr>
                              </pic:nvPicPr>
                              <pic:blipFill>
                                <a:blip r:embed="rId8"/>
                                <a:srcRect/>
                                <a:stretch>
                                  <a:fillRect/>
                                </a:stretch>
                              </pic:blipFill>
                              <pic:spPr bwMode="auto">
                                <a:xfrm>
                                  <a:off x="0" y="0"/>
                                  <a:ext cx="2728166" cy="1561495"/>
                                </a:xfrm>
                                <a:prstGeom prst="rect">
                                  <a:avLst/>
                                </a:prstGeom>
                                <a:noFill/>
                                <a:ln w="9525">
                                  <a:noFill/>
                                  <a:miter lim="800000"/>
                                  <a:headEnd/>
                                  <a:tailEnd/>
                                </a:ln>
                              </pic:spPr>
                            </pic:pic>
                          </a:graphicData>
                        </a:graphic>
                      </wp:inline>
                    </w:drawing>
                  </w:r>
                </w:p>
                <w:p w:rsidR="00B30791" w:rsidRPr="007B5AAF" w:rsidRDefault="00B30791" w:rsidP="007B5AAF">
                  <w:pPr>
                    <w:bidi w:val="0"/>
                    <w:jc w:val="center"/>
                    <w:rPr>
                      <w:b/>
                      <w:bCs/>
                      <w:i/>
                      <w:iCs/>
                      <w:sz w:val="20"/>
                      <w:szCs w:val="20"/>
                      <w:lang w:val="fr-FR"/>
                    </w:rPr>
                  </w:pPr>
                  <w:r w:rsidRPr="007B5AAF">
                    <w:rPr>
                      <w:b/>
                      <w:bCs/>
                      <w:i/>
                      <w:iCs/>
                      <w:sz w:val="20"/>
                      <w:szCs w:val="20"/>
                      <w:lang w:val="fr-FR"/>
                    </w:rPr>
                    <w:t>Source: http://www.edl.gov.lb/photogalery.htm</w:t>
                  </w:r>
                </w:p>
              </w:txbxContent>
            </v:textbox>
            <w10:wrap type="square" anchorx="page"/>
          </v:shape>
        </w:pict>
      </w:r>
    </w:p>
    <w:p w:rsidR="00D77072" w:rsidRPr="00D77072" w:rsidRDefault="00CE22CF" w:rsidP="00491BDD">
      <w:pPr>
        <w:bidi w:val="0"/>
        <w:rPr>
          <w:rFonts w:asciiTheme="majorBidi" w:hAnsiTheme="majorBidi" w:cstheme="majorBidi"/>
          <w:noProof/>
          <w:sz w:val="22"/>
          <w:szCs w:val="22"/>
          <w:lang w:val="fr-FR"/>
        </w:rPr>
      </w:pPr>
      <w:r>
        <w:rPr>
          <w:noProof/>
          <w:sz w:val="22"/>
          <w:szCs w:val="22"/>
          <w:lang w:eastAsia="en-US" w:bidi="ar-SA"/>
        </w:rPr>
        <w:t>Energy production</w:t>
      </w:r>
      <w:r w:rsidR="0038097C" w:rsidRPr="00D77072">
        <w:rPr>
          <w:rFonts w:asciiTheme="majorBidi" w:hAnsiTheme="majorBidi" w:cstheme="majorBidi"/>
          <w:noProof/>
          <w:sz w:val="22"/>
          <w:szCs w:val="22"/>
          <w:lang w:val="fr-FR"/>
        </w:rPr>
        <w:t xml:space="preserve"> </w:t>
      </w:r>
      <w:r w:rsidR="00380823" w:rsidRPr="00D77072">
        <w:rPr>
          <w:rFonts w:asciiTheme="majorBidi" w:hAnsiTheme="majorBidi" w:cstheme="majorBidi"/>
          <w:noProof/>
          <w:sz w:val="22"/>
          <w:szCs w:val="22"/>
          <w:lang w:val="fr-FR"/>
        </w:rPr>
        <w:t>10</w:t>
      </w:r>
      <w:r w:rsidR="0038097C" w:rsidRPr="00D77072">
        <w:rPr>
          <w:rFonts w:asciiTheme="majorBidi" w:hAnsiTheme="majorBidi" w:cstheme="majorBidi"/>
          <w:noProof/>
          <w:sz w:val="22"/>
          <w:szCs w:val="22"/>
          <w:lang w:val="fr-FR"/>
        </w:rPr>
        <w:t>,</w:t>
      </w:r>
      <w:r w:rsidR="00491BDD">
        <w:rPr>
          <w:rFonts w:asciiTheme="majorBidi" w:hAnsiTheme="majorBidi" w:cstheme="majorBidi"/>
          <w:noProof/>
          <w:sz w:val="22"/>
          <w:szCs w:val="22"/>
          <w:lang w:val="fr-FR"/>
        </w:rPr>
        <w:t>486</w:t>
      </w:r>
      <w:r w:rsidR="0038097C" w:rsidRPr="00D77072">
        <w:rPr>
          <w:rFonts w:asciiTheme="majorBidi" w:hAnsiTheme="majorBidi" w:cstheme="majorBidi"/>
          <w:noProof/>
          <w:sz w:val="22"/>
          <w:szCs w:val="22"/>
          <w:lang w:val="fr-FR"/>
        </w:rPr>
        <w:t xml:space="preserve"> million KWh</w:t>
      </w:r>
      <w:r w:rsidR="00D77072" w:rsidRPr="00D77072">
        <w:rPr>
          <w:rFonts w:asciiTheme="majorBidi" w:hAnsiTheme="majorBidi" w:cstheme="majorBidi"/>
          <w:noProof/>
          <w:sz w:val="22"/>
          <w:szCs w:val="22"/>
          <w:lang w:val="fr-FR"/>
        </w:rPr>
        <w:t>:</w:t>
      </w:r>
    </w:p>
    <w:p w:rsidR="00D77072" w:rsidRPr="00D77072" w:rsidRDefault="00CE22CF" w:rsidP="00491BDD">
      <w:pPr>
        <w:pStyle w:val="ListParagraph"/>
        <w:numPr>
          <w:ilvl w:val="0"/>
          <w:numId w:val="1"/>
        </w:numPr>
        <w:spacing w:line="240" w:lineRule="auto"/>
        <w:jc w:val="both"/>
        <w:rPr>
          <w:rFonts w:asciiTheme="majorBidi" w:hAnsiTheme="majorBidi" w:cstheme="majorBidi"/>
          <w:noProof/>
        </w:rPr>
      </w:pPr>
      <w:r>
        <w:rPr>
          <w:rFonts w:asciiTheme="majorBidi" w:hAnsiTheme="majorBidi" w:cstheme="majorBidi"/>
          <w:noProof/>
        </w:rPr>
        <w:t xml:space="preserve">Thermal energy: </w:t>
      </w:r>
      <w:r w:rsidR="0038097C" w:rsidRPr="00D77072">
        <w:rPr>
          <w:rFonts w:asciiTheme="majorBidi" w:hAnsiTheme="majorBidi" w:cstheme="majorBidi"/>
          <w:noProof/>
        </w:rPr>
        <w:t>99.</w:t>
      </w:r>
      <w:r w:rsidR="00491BDD">
        <w:rPr>
          <w:rFonts w:asciiTheme="majorBidi" w:hAnsiTheme="majorBidi" w:cstheme="majorBidi"/>
          <w:noProof/>
        </w:rPr>
        <w:t>0</w:t>
      </w:r>
      <w:r w:rsidR="00DE5D02">
        <w:rPr>
          <w:rFonts w:asciiTheme="majorBidi" w:hAnsiTheme="majorBidi" w:cstheme="majorBidi"/>
          <w:noProof/>
        </w:rPr>
        <w:t>%.</w:t>
      </w:r>
    </w:p>
    <w:p w:rsidR="007B5AAF" w:rsidRPr="00D77072" w:rsidRDefault="00CE22CF" w:rsidP="00491BDD">
      <w:pPr>
        <w:pStyle w:val="ListParagraph"/>
        <w:numPr>
          <w:ilvl w:val="0"/>
          <w:numId w:val="1"/>
        </w:numPr>
        <w:spacing w:line="240" w:lineRule="auto"/>
        <w:jc w:val="both"/>
        <w:rPr>
          <w:rFonts w:asciiTheme="majorBidi" w:hAnsiTheme="majorBidi" w:cstheme="majorBidi"/>
          <w:noProof/>
        </w:rPr>
      </w:pPr>
      <w:r>
        <w:rPr>
          <w:rFonts w:asciiTheme="majorBidi" w:hAnsiTheme="majorBidi" w:cstheme="majorBidi"/>
          <w:noProof/>
        </w:rPr>
        <w:t>H</w:t>
      </w:r>
      <w:r w:rsidRPr="00D77072">
        <w:rPr>
          <w:rFonts w:asciiTheme="majorBidi" w:hAnsiTheme="majorBidi" w:cstheme="majorBidi"/>
          <w:noProof/>
        </w:rPr>
        <w:t>ydraulic energy</w:t>
      </w:r>
      <w:r>
        <w:rPr>
          <w:rFonts w:asciiTheme="majorBidi" w:hAnsiTheme="majorBidi" w:cstheme="majorBidi"/>
          <w:noProof/>
        </w:rPr>
        <w:t>:</w:t>
      </w:r>
      <w:r w:rsidRPr="00D77072">
        <w:rPr>
          <w:rFonts w:asciiTheme="majorBidi" w:hAnsiTheme="majorBidi" w:cstheme="majorBidi"/>
          <w:noProof/>
        </w:rPr>
        <w:t xml:space="preserve"> </w:t>
      </w:r>
      <w:r w:rsidR="00491BDD">
        <w:rPr>
          <w:rFonts w:asciiTheme="majorBidi" w:hAnsiTheme="majorBidi" w:cstheme="majorBidi"/>
          <w:noProof/>
        </w:rPr>
        <w:t>1.0</w:t>
      </w:r>
      <w:r w:rsidR="00431076" w:rsidRPr="00D77072">
        <w:rPr>
          <w:rFonts w:asciiTheme="majorBidi" w:hAnsiTheme="majorBidi" w:cstheme="majorBidi"/>
          <w:noProof/>
        </w:rPr>
        <w:t>%</w:t>
      </w:r>
      <w:r w:rsidR="00DE5D02">
        <w:rPr>
          <w:rFonts w:asciiTheme="majorBidi" w:hAnsiTheme="majorBidi" w:cstheme="majorBidi"/>
          <w:noProof/>
        </w:rPr>
        <w:t>.</w:t>
      </w:r>
    </w:p>
    <w:p w:rsidR="00D77072" w:rsidRPr="00D77072" w:rsidRDefault="002A2BAE" w:rsidP="00491BDD">
      <w:pPr>
        <w:bidi w:val="0"/>
        <w:contextualSpacing/>
        <w:jc w:val="both"/>
        <w:rPr>
          <w:rFonts w:asciiTheme="majorBidi" w:hAnsiTheme="majorBidi" w:cstheme="majorBidi"/>
          <w:noProof/>
          <w:sz w:val="22"/>
          <w:szCs w:val="22"/>
        </w:rPr>
      </w:pPr>
      <w:r w:rsidRPr="00D77072">
        <w:rPr>
          <w:rFonts w:asciiTheme="majorBidi" w:hAnsiTheme="majorBidi" w:cstheme="majorBidi"/>
          <w:noProof/>
          <w:sz w:val="22"/>
          <w:szCs w:val="22"/>
        </w:rPr>
        <w:t xml:space="preserve">Energy purchases are </w:t>
      </w:r>
      <w:r w:rsidR="00380823" w:rsidRPr="00D77072">
        <w:rPr>
          <w:rFonts w:asciiTheme="majorBidi" w:hAnsiTheme="majorBidi" w:cstheme="majorBidi"/>
          <w:noProof/>
          <w:sz w:val="22"/>
          <w:szCs w:val="22"/>
        </w:rPr>
        <w:t>1,</w:t>
      </w:r>
      <w:r w:rsidR="00491BDD">
        <w:rPr>
          <w:rFonts w:asciiTheme="majorBidi" w:hAnsiTheme="majorBidi" w:cstheme="majorBidi"/>
          <w:noProof/>
          <w:sz w:val="22"/>
          <w:szCs w:val="22"/>
        </w:rPr>
        <w:t>557</w:t>
      </w:r>
      <w:r w:rsidRPr="00D77072">
        <w:rPr>
          <w:rFonts w:asciiTheme="majorBidi" w:hAnsiTheme="majorBidi" w:cstheme="majorBidi"/>
          <w:noProof/>
          <w:sz w:val="22"/>
          <w:szCs w:val="22"/>
        </w:rPr>
        <w:t xml:space="preserve"> million KWh</w:t>
      </w:r>
      <w:r w:rsidR="00D77072" w:rsidRPr="00D77072">
        <w:rPr>
          <w:rFonts w:asciiTheme="majorBidi" w:hAnsiTheme="majorBidi" w:cstheme="majorBidi"/>
          <w:noProof/>
          <w:sz w:val="22"/>
          <w:szCs w:val="22"/>
        </w:rPr>
        <w:t>:</w:t>
      </w:r>
    </w:p>
    <w:p w:rsidR="00D77072" w:rsidRPr="00D77072" w:rsidRDefault="00CE22CF" w:rsidP="00491BDD">
      <w:pPr>
        <w:pStyle w:val="ListParagraph"/>
        <w:numPr>
          <w:ilvl w:val="0"/>
          <w:numId w:val="2"/>
        </w:numPr>
        <w:spacing w:line="240" w:lineRule="auto"/>
        <w:jc w:val="both"/>
        <w:rPr>
          <w:rFonts w:asciiTheme="majorBidi" w:hAnsiTheme="majorBidi" w:cstheme="majorBidi"/>
          <w:noProof/>
        </w:rPr>
      </w:pPr>
      <w:r>
        <w:rPr>
          <w:rFonts w:asciiTheme="majorBidi" w:hAnsiTheme="majorBidi" w:cstheme="majorBidi"/>
          <w:noProof/>
        </w:rPr>
        <w:t xml:space="preserve">Thermal energy: </w:t>
      </w:r>
      <w:r w:rsidR="00491BDD">
        <w:rPr>
          <w:rFonts w:asciiTheme="majorBidi" w:hAnsiTheme="majorBidi" w:cstheme="majorBidi"/>
          <w:noProof/>
        </w:rPr>
        <w:t>50.8</w:t>
      </w:r>
      <w:r>
        <w:rPr>
          <w:rFonts w:asciiTheme="majorBidi" w:hAnsiTheme="majorBidi" w:cstheme="majorBidi"/>
          <w:noProof/>
        </w:rPr>
        <w:t>%</w:t>
      </w:r>
      <w:r w:rsidR="00DE5D02">
        <w:rPr>
          <w:rFonts w:asciiTheme="majorBidi" w:hAnsiTheme="majorBidi" w:cstheme="majorBidi"/>
          <w:noProof/>
        </w:rPr>
        <w:t>.</w:t>
      </w:r>
    </w:p>
    <w:p w:rsidR="007B5AAF" w:rsidRPr="00D77072" w:rsidRDefault="00CE22CF" w:rsidP="00491BDD">
      <w:pPr>
        <w:pStyle w:val="ListParagraph"/>
        <w:numPr>
          <w:ilvl w:val="0"/>
          <w:numId w:val="2"/>
        </w:numPr>
        <w:spacing w:line="240" w:lineRule="auto"/>
        <w:jc w:val="both"/>
        <w:rPr>
          <w:rFonts w:asciiTheme="majorBidi" w:hAnsiTheme="majorBidi" w:cstheme="majorBidi"/>
          <w:noProof/>
        </w:rPr>
      </w:pPr>
      <w:r>
        <w:rPr>
          <w:rFonts w:asciiTheme="majorBidi" w:hAnsiTheme="majorBidi" w:cstheme="majorBidi"/>
          <w:noProof/>
        </w:rPr>
        <w:t>H</w:t>
      </w:r>
      <w:r w:rsidRPr="00D77072">
        <w:rPr>
          <w:rFonts w:asciiTheme="majorBidi" w:hAnsiTheme="majorBidi" w:cstheme="majorBidi"/>
          <w:noProof/>
        </w:rPr>
        <w:t>ydraulic energy</w:t>
      </w:r>
      <w:r>
        <w:rPr>
          <w:rFonts w:asciiTheme="majorBidi" w:hAnsiTheme="majorBidi" w:cstheme="majorBidi"/>
          <w:noProof/>
        </w:rPr>
        <w:t>:</w:t>
      </w:r>
      <w:r w:rsidRPr="00D77072">
        <w:rPr>
          <w:rFonts w:asciiTheme="majorBidi" w:hAnsiTheme="majorBidi" w:cstheme="majorBidi"/>
          <w:noProof/>
        </w:rPr>
        <w:t xml:space="preserve"> </w:t>
      </w:r>
      <w:r w:rsidR="00491BDD">
        <w:rPr>
          <w:rFonts w:asciiTheme="majorBidi" w:hAnsiTheme="majorBidi" w:cstheme="majorBidi"/>
          <w:noProof/>
        </w:rPr>
        <w:t>49.2</w:t>
      </w:r>
      <w:r w:rsidR="00D77072" w:rsidRPr="00D77072">
        <w:rPr>
          <w:rFonts w:asciiTheme="majorBidi" w:hAnsiTheme="majorBidi" w:cstheme="majorBidi"/>
          <w:noProof/>
        </w:rPr>
        <w:t>%</w:t>
      </w:r>
      <w:r w:rsidR="00DE5D02">
        <w:rPr>
          <w:rFonts w:asciiTheme="majorBidi" w:hAnsiTheme="majorBidi" w:cstheme="majorBidi"/>
          <w:noProof/>
        </w:rPr>
        <w:t>.</w:t>
      </w:r>
    </w:p>
    <w:p w:rsidR="00D77072" w:rsidRPr="00D77072" w:rsidRDefault="00D77072" w:rsidP="00491BDD">
      <w:pPr>
        <w:bidi w:val="0"/>
        <w:contextualSpacing/>
        <w:jc w:val="both"/>
        <w:rPr>
          <w:rFonts w:asciiTheme="majorBidi" w:hAnsiTheme="majorBidi" w:cstheme="majorBidi"/>
          <w:noProof/>
          <w:sz w:val="22"/>
          <w:szCs w:val="22"/>
        </w:rPr>
      </w:pPr>
      <w:r>
        <w:rPr>
          <w:rFonts w:asciiTheme="majorBidi" w:hAnsiTheme="majorBidi" w:cstheme="majorBidi"/>
          <w:noProof/>
          <w:sz w:val="22"/>
          <w:szCs w:val="22"/>
        </w:rPr>
        <w:t>N</w:t>
      </w:r>
      <w:r w:rsidR="00714AD0" w:rsidRPr="00D77072">
        <w:rPr>
          <w:rFonts w:asciiTheme="majorBidi" w:hAnsiTheme="majorBidi" w:cstheme="majorBidi"/>
          <w:noProof/>
          <w:sz w:val="22"/>
          <w:szCs w:val="22"/>
        </w:rPr>
        <w:t>etwork e</w:t>
      </w:r>
      <w:r w:rsidR="002A2BAE" w:rsidRPr="00D77072">
        <w:rPr>
          <w:rFonts w:asciiTheme="majorBidi" w:hAnsiTheme="majorBidi" w:cstheme="majorBidi"/>
          <w:noProof/>
          <w:sz w:val="22"/>
          <w:szCs w:val="22"/>
        </w:rPr>
        <w:t>nergy consumption</w:t>
      </w:r>
      <w:r w:rsidR="00714AD0" w:rsidRPr="00D77072">
        <w:rPr>
          <w:rFonts w:asciiTheme="majorBidi" w:hAnsiTheme="majorBidi" w:cstheme="majorBidi"/>
          <w:noProof/>
          <w:sz w:val="22"/>
          <w:szCs w:val="22"/>
        </w:rPr>
        <w:t xml:space="preserve"> is </w:t>
      </w:r>
      <w:r w:rsidR="00491BDD">
        <w:rPr>
          <w:rFonts w:asciiTheme="majorBidi" w:hAnsiTheme="majorBidi" w:cstheme="majorBidi"/>
          <w:noProof/>
          <w:sz w:val="22"/>
          <w:szCs w:val="22"/>
        </w:rPr>
        <w:t>12</w:t>
      </w:r>
      <w:r w:rsidR="0060588F" w:rsidRPr="00D77072">
        <w:rPr>
          <w:rFonts w:asciiTheme="majorBidi" w:hAnsiTheme="majorBidi" w:cstheme="majorBidi"/>
          <w:noProof/>
          <w:sz w:val="22"/>
          <w:szCs w:val="22"/>
        </w:rPr>
        <w:t>,</w:t>
      </w:r>
      <w:r w:rsidR="00491BDD">
        <w:rPr>
          <w:rFonts w:asciiTheme="majorBidi" w:hAnsiTheme="majorBidi" w:cstheme="majorBidi"/>
          <w:noProof/>
          <w:sz w:val="22"/>
          <w:szCs w:val="22"/>
        </w:rPr>
        <w:t>467</w:t>
      </w:r>
      <w:r w:rsidR="00714AD0" w:rsidRPr="00D77072">
        <w:rPr>
          <w:rFonts w:asciiTheme="majorBidi" w:hAnsiTheme="majorBidi" w:cstheme="majorBidi"/>
          <w:noProof/>
          <w:sz w:val="22"/>
          <w:szCs w:val="22"/>
        </w:rPr>
        <w:t xml:space="preserve"> million KWh</w:t>
      </w:r>
      <w:r w:rsidRPr="00D77072">
        <w:rPr>
          <w:rFonts w:asciiTheme="majorBidi" w:hAnsiTheme="majorBidi" w:cstheme="majorBidi"/>
          <w:noProof/>
          <w:sz w:val="22"/>
          <w:szCs w:val="22"/>
        </w:rPr>
        <w:t>:</w:t>
      </w:r>
    </w:p>
    <w:p w:rsidR="00D77072" w:rsidRPr="00D77072" w:rsidRDefault="00CE22CF" w:rsidP="00491BDD">
      <w:pPr>
        <w:pStyle w:val="ListParagraph"/>
        <w:numPr>
          <w:ilvl w:val="0"/>
          <w:numId w:val="3"/>
        </w:numPr>
        <w:spacing w:line="240" w:lineRule="auto"/>
        <w:jc w:val="both"/>
        <w:rPr>
          <w:rFonts w:asciiTheme="majorBidi" w:hAnsiTheme="majorBidi" w:cstheme="majorBidi"/>
          <w:noProof/>
        </w:rPr>
      </w:pPr>
      <w:r>
        <w:rPr>
          <w:rFonts w:asciiTheme="majorBidi" w:hAnsiTheme="majorBidi" w:cstheme="majorBidi"/>
          <w:noProof/>
        </w:rPr>
        <w:t xml:space="preserve">Thermal energy: </w:t>
      </w:r>
      <w:r w:rsidR="00D77072">
        <w:rPr>
          <w:rFonts w:asciiTheme="majorBidi" w:hAnsiTheme="majorBidi" w:cstheme="majorBidi"/>
          <w:noProof/>
        </w:rPr>
        <w:t>9</w:t>
      </w:r>
      <w:r w:rsidR="00491BDD">
        <w:rPr>
          <w:rFonts w:asciiTheme="majorBidi" w:hAnsiTheme="majorBidi" w:cstheme="majorBidi"/>
          <w:noProof/>
        </w:rPr>
        <w:t>3</w:t>
      </w:r>
      <w:r w:rsidR="00D77072">
        <w:rPr>
          <w:rFonts w:asciiTheme="majorBidi" w:hAnsiTheme="majorBidi" w:cstheme="majorBidi"/>
          <w:noProof/>
        </w:rPr>
        <w:t>.</w:t>
      </w:r>
      <w:r w:rsidR="00491BDD">
        <w:rPr>
          <w:rFonts w:asciiTheme="majorBidi" w:hAnsiTheme="majorBidi" w:cstheme="majorBidi"/>
          <w:noProof/>
        </w:rPr>
        <w:t>2</w:t>
      </w:r>
      <w:r w:rsidR="00D77072">
        <w:rPr>
          <w:rFonts w:asciiTheme="majorBidi" w:hAnsiTheme="majorBidi" w:cstheme="majorBidi"/>
          <w:noProof/>
        </w:rPr>
        <w:t>%</w:t>
      </w:r>
      <w:r w:rsidR="00DE5D02">
        <w:rPr>
          <w:rFonts w:asciiTheme="majorBidi" w:hAnsiTheme="majorBidi" w:cstheme="majorBidi"/>
          <w:noProof/>
        </w:rPr>
        <w:t>.</w:t>
      </w:r>
    </w:p>
    <w:p w:rsidR="00380CC4" w:rsidRPr="00D77072" w:rsidRDefault="00CE22CF" w:rsidP="00491BDD">
      <w:pPr>
        <w:pStyle w:val="ListParagraph"/>
        <w:numPr>
          <w:ilvl w:val="0"/>
          <w:numId w:val="3"/>
        </w:numPr>
        <w:spacing w:line="240" w:lineRule="auto"/>
        <w:jc w:val="both"/>
        <w:rPr>
          <w:rFonts w:asciiTheme="majorBidi" w:hAnsiTheme="majorBidi" w:cstheme="majorBidi"/>
          <w:noProof/>
        </w:rPr>
      </w:pPr>
      <w:r>
        <w:rPr>
          <w:rFonts w:asciiTheme="majorBidi" w:hAnsiTheme="majorBidi" w:cstheme="majorBidi"/>
          <w:noProof/>
        </w:rPr>
        <w:t>H</w:t>
      </w:r>
      <w:r w:rsidRPr="00D77072">
        <w:rPr>
          <w:rFonts w:asciiTheme="majorBidi" w:hAnsiTheme="majorBidi" w:cstheme="majorBidi"/>
          <w:noProof/>
        </w:rPr>
        <w:t>ydraulic energy</w:t>
      </w:r>
      <w:r>
        <w:rPr>
          <w:rFonts w:asciiTheme="majorBidi" w:hAnsiTheme="majorBidi" w:cstheme="majorBidi"/>
          <w:noProof/>
        </w:rPr>
        <w:t>:</w:t>
      </w:r>
      <w:r w:rsidRPr="00D77072">
        <w:rPr>
          <w:rFonts w:asciiTheme="majorBidi" w:hAnsiTheme="majorBidi" w:cstheme="majorBidi"/>
          <w:noProof/>
        </w:rPr>
        <w:t xml:space="preserve"> </w:t>
      </w:r>
      <w:r w:rsidR="00491BDD">
        <w:rPr>
          <w:rFonts w:asciiTheme="majorBidi" w:hAnsiTheme="majorBidi" w:cstheme="majorBidi"/>
          <w:noProof/>
        </w:rPr>
        <w:t>6.8</w:t>
      </w:r>
      <w:r w:rsidR="00D77072">
        <w:rPr>
          <w:rFonts w:asciiTheme="majorBidi" w:hAnsiTheme="majorBidi" w:cstheme="majorBidi"/>
          <w:noProof/>
        </w:rPr>
        <w:t>%</w:t>
      </w:r>
      <w:r w:rsidR="00DE5D02">
        <w:rPr>
          <w:rFonts w:asciiTheme="majorBidi" w:hAnsiTheme="majorBidi" w:cstheme="majorBidi"/>
          <w:noProof/>
        </w:rPr>
        <w:t>.</w:t>
      </w:r>
    </w:p>
    <w:p w:rsidR="00D77072" w:rsidRPr="00CE22CF" w:rsidRDefault="00D77072" w:rsidP="000B28FF">
      <w:pPr>
        <w:bidi w:val="0"/>
        <w:jc w:val="center"/>
        <w:outlineLvl w:val="0"/>
        <w:rPr>
          <w:b/>
          <w:bCs/>
          <w:i/>
          <w:iCs/>
          <w:sz w:val="10"/>
          <w:szCs w:val="10"/>
        </w:rPr>
      </w:pPr>
      <w:bookmarkStart w:id="2" w:name="_Toc263093746"/>
    </w:p>
    <w:p w:rsidR="00C033A7" w:rsidRPr="001936ED" w:rsidRDefault="00C033A7" w:rsidP="00491BDD">
      <w:pPr>
        <w:bidi w:val="0"/>
        <w:jc w:val="center"/>
        <w:outlineLvl w:val="0"/>
        <w:rPr>
          <w:b/>
          <w:bCs/>
          <w:sz w:val="22"/>
          <w:szCs w:val="22"/>
        </w:rPr>
      </w:pPr>
      <w:r w:rsidRPr="001936ED">
        <w:rPr>
          <w:b/>
          <w:bCs/>
          <w:sz w:val="22"/>
          <w:szCs w:val="22"/>
        </w:rPr>
        <w:t xml:space="preserve">Table </w:t>
      </w:r>
      <w:r w:rsidR="00D77072" w:rsidRPr="001936ED">
        <w:rPr>
          <w:b/>
          <w:bCs/>
          <w:sz w:val="22"/>
          <w:szCs w:val="22"/>
        </w:rPr>
        <w:t>5.1</w:t>
      </w:r>
      <w:r w:rsidRPr="001936ED">
        <w:rPr>
          <w:b/>
          <w:bCs/>
          <w:sz w:val="22"/>
          <w:szCs w:val="22"/>
        </w:rPr>
        <w:t xml:space="preserve"> –</w:t>
      </w:r>
      <w:r w:rsidR="00B06B61" w:rsidRPr="001936ED">
        <w:rPr>
          <w:b/>
          <w:bCs/>
          <w:sz w:val="22"/>
          <w:szCs w:val="22"/>
        </w:rPr>
        <w:t xml:space="preserve"> </w:t>
      </w:r>
      <w:r w:rsidRPr="001936ED">
        <w:rPr>
          <w:b/>
          <w:bCs/>
          <w:sz w:val="22"/>
          <w:szCs w:val="22"/>
        </w:rPr>
        <w:t>Energy production, purchases</w:t>
      </w:r>
      <w:r w:rsidR="006672CF" w:rsidRPr="001936ED">
        <w:rPr>
          <w:b/>
          <w:bCs/>
          <w:sz w:val="22"/>
          <w:szCs w:val="22"/>
        </w:rPr>
        <w:t>,</w:t>
      </w:r>
      <w:r w:rsidRPr="001936ED">
        <w:rPr>
          <w:b/>
          <w:bCs/>
          <w:sz w:val="22"/>
          <w:szCs w:val="22"/>
        </w:rPr>
        <w:t xml:space="preserve"> and consumption</w:t>
      </w:r>
      <w:r w:rsidR="00D77072" w:rsidRPr="001936ED">
        <w:rPr>
          <w:b/>
          <w:bCs/>
          <w:sz w:val="22"/>
          <w:szCs w:val="22"/>
        </w:rPr>
        <w:t>. M</w:t>
      </w:r>
      <w:r w:rsidRPr="001936ED">
        <w:rPr>
          <w:b/>
          <w:bCs/>
          <w:sz w:val="22"/>
          <w:szCs w:val="22"/>
        </w:rPr>
        <w:t xml:space="preserve">illion KWh in </w:t>
      </w:r>
      <w:bookmarkEnd w:id="2"/>
      <w:r w:rsidR="00491BDD" w:rsidRPr="001936ED">
        <w:rPr>
          <w:b/>
          <w:bCs/>
          <w:sz w:val="22"/>
          <w:szCs w:val="22"/>
        </w:rPr>
        <w:t>2010</w:t>
      </w:r>
      <w:r w:rsidRPr="001936ED">
        <w:rPr>
          <w:b/>
          <w:bCs/>
          <w:sz w:val="22"/>
          <w:szCs w:val="22"/>
        </w:rPr>
        <w:t xml:space="preserve"> </w:t>
      </w:r>
    </w:p>
    <w:tbl>
      <w:tblPr>
        <w:tblW w:w="9728" w:type="dxa"/>
        <w:jc w:val="center"/>
        <w:tblInd w:w="-166" w:type="dxa"/>
        <w:tblBorders>
          <w:top w:val="single" w:sz="12" w:space="0" w:color="auto"/>
          <w:bottom w:val="single" w:sz="12" w:space="0" w:color="auto"/>
          <w:insideH w:val="single" w:sz="12" w:space="0" w:color="auto"/>
        </w:tblBorders>
        <w:tblLook w:val="04A0"/>
      </w:tblPr>
      <w:tblGrid>
        <w:gridCol w:w="2209"/>
        <w:gridCol w:w="1521"/>
        <w:gridCol w:w="1160"/>
        <w:gridCol w:w="2511"/>
        <w:gridCol w:w="2327"/>
      </w:tblGrid>
      <w:tr w:rsidR="00C033A7" w:rsidRPr="001936ED" w:rsidTr="00CE22CF">
        <w:trPr>
          <w:trHeight w:val="330"/>
          <w:jc w:val="center"/>
        </w:trPr>
        <w:tc>
          <w:tcPr>
            <w:tcW w:w="2209" w:type="dxa"/>
            <w:tcBorders>
              <w:bottom w:val="single" w:sz="12" w:space="0" w:color="auto"/>
            </w:tcBorders>
            <w:shd w:val="clear" w:color="auto" w:fill="auto"/>
            <w:vAlign w:val="center"/>
            <w:hideMark/>
          </w:tcPr>
          <w:p w:rsidR="00C033A7" w:rsidRPr="001936ED" w:rsidRDefault="00B06B61" w:rsidP="000B28FF">
            <w:pPr>
              <w:bidi w:val="0"/>
              <w:rPr>
                <w:rFonts w:eastAsia="Times New Roman"/>
                <w:b/>
                <w:bCs/>
                <w:sz w:val="16"/>
                <w:szCs w:val="16"/>
                <w:lang w:eastAsia="en-US" w:bidi="ar-SA"/>
              </w:rPr>
            </w:pPr>
            <w:r w:rsidRPr="001936ED">
              <w:rPr>
                <w:rFonts w:eastAsia="Times New Roman"/>
                <w:b/>
                <w:bCs/>
                <w:sz w:val="16"/>
                <w:szCs w:val="16"/>
                <w:lang w:eastAsia="en-US" w:bidi="ar-SA"/>
              </w:rPr>
              <w:t>Energy</w:t>
            </w:r>
          </w:p>
        </w:tc>
        <w:tc>
          <w:tcPr>
            <w:tcW w:w="1521" w:type="dxa"/>
            <w:tcBorders>
              <w:bottom w:val="single" w:sz="12" w:space="0" w:color="auto"/>
            </w:tcBorders>
            <w:shd w:val="clear" w:color="auto" w:fill="auto"/>
            <w:noWrap/>
            <w:vAlign w:val="center"/>
            <w:hideMark/>
          </w:tcPr>
          <w:p w:rsidR="00C033A7" w:rsidRPr="001936ED" w:rsidRDefault="00B6221D"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M</w:t>
            </w:r>
            <w:r w:rsidR="005C5273" w:rsidRPr="001936ED">
              <w:rPr>
                <w:rFonts w:eastAsia="Times New Roman"/>
                <w:b/>
                <w:bCs/>
                <w:sz w:val="16"/>
                <w:szCs w:val="16"/>
                <w:lang w:eastAsia="en-US" w:bidi="ar-SA"/>
              </w:rPr>
              <w:t>illion KWh</w:t>
            </w:r>
          </w:p>
        </w:tc>
        <w:tc>
          <w:tcPr>
            <w:tcW w:w="1160" w:type="dxa"/>
            <w:tcBorders>
              <w:bottom w:val="single" w:sz="12" w:space="0" w:color="auto"/>
            </w:tcBorders>
            <w:shd w:val="clear" w:color="auto" w:fill="auto"/>
            <w:noWrap/>
            <w:vAlign w:val="center"/>
            <w:hideMark/>
          </w:tcPr>
          <w:p w:rsidR="00C033A7" w:rsidRPr="001936ED" w:rsidRDefault="00AB151D"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w:t>
            </w:r>
          </w:p>
        </w:tc>
        <w:tc>
          <w:tcPr>
            <w:tcW w:w="2511" w:type="dxa"/>
            <w:tcBorders>
              <w:bottom w:val="single" w:sz="12" w:space="0" w:color="auto"/>
            </w:tcBorders>
            <w:shd w:val="clear" w:color="auto" w:fill="auto"/>
            <w:noWrap/>
            <w:vAlign w:val="center"/>
            <w:hideMark/>
          </w:tcPr>
          <w:p w:rsidR="00C033A7" w:rsidRPr="001936ED" w:rsidRDefault="00C033A7"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 xml:space="preserve">Peak </w:t>
            </w:r>
            <w:r w:rsidR="002E6C82" w:rsidRPr="001936ED">
              <w:rPr>
                <w:rFonts w:eastAsia="Times New Roman"/>
                <w:b/>
                <w:bCs/>
                <w:sz w:val="16"/>
                <w:szCs w:val="16"/>
                <w:lang w:eastAsia="en-US" w:bidi="ar-SA"/>
              </w:rPr>
              <w:t>m</w:t>
            </w:r>
            <w:r w:rsidRPr="001936ED">
              <w:rPr>
                <w:rFonts w:eastAsia="Times New Roman"/>
                <w:b/>
                <w:bCs/>
                <w:sz w:val="16"/>
                <w:szCs w:val="16"/>
                <w:lang w:eastAsia="en-US" w:bidi="ar-SA"/>
              </w:rPr>
              <w:t>onth</w:t>
            </w:r>
            <w:r w:rsidR="00CE22CF" w:rsidRPr="001936ED">
              <w:rPr>
                <w:rFonts w:eastAsia="Times New Roman"/>
                <w:b/>
                <w:bCs/>
                <w:sz w:val="16"/>
                <w:szCs w:val="16"/>
                <w:lang w:eastAsia="en-US" w:bidi="ar-SA"/>
              </w:rPr>
              <w:t>. M</w:t>
            </w:r>
            <w:r w:rsidR="00B6221D" w:rsidRPr="001936ED">
              <w:rPr>
                <w:rFonts w:eastAsia="Times New Roman"/>
                <w:b/>
                <w:bCs/>
                <w:sz w:val="16"/>
                <w:szCs w:val="16"/>
                <w:lang w:eastAsia="en-US" w:bidi="ar-SA"/>
              </w:rPr>
              <w:t>illion KWh</w:t>
            </w:r>
          </w:p>
        </w:tc>
        <w:tc>
          <w:tcPr>
            <w:tcW w:w="2327" w:type="dxa"/>
            <w:tcBorders>
              <w:bottom w:val="single" w:sz="12" w:space="0" w:color="auto"/>
            </w:tcBorders>
            <w:shd w:val="clear" w:color="auto" w:fill="auto"/>
            <w:noWrap/>
            <w:vAlign w:val="center"/>
            <w:hideMark/>
          </w:tcPr>
          <w:p w:rsidR="00C033A7" w:rsidRPr="001936ED" w:rsidRDefault="00C033A7" w:rsidP="00AB151D">
            <w:pPr>
              <w:bidi w:val="0"/>
              <w:jc w:val="right"/>
              <w:rPr>
                <w:rFonts w:eastAsia="Times New Roman"/>
                <w:b/>
                <w:bCs/>
                <w:sz w:val="16"/>
                <w:szCs w:val="16"/>
                <w:lang w:eastAsia="en-US" w:bidi="ar-SA"/>
              </w:rPr>
            </w:pPr>
            <w:r w:rsidRPr="001936ED">
              <w:rPr>
                <w:rFonts w:eastAsia="Times New Roman"/>
                <w:b/>
                <w:bCs/>
                <w:sz w:val="16"/>
                <w:szCs w:val="16"/>
                <w:lang w:eastAsia="en-US" w:bidi="ar-SA"/>
              </w:rPr>
              <w:t>Peak month</w:t>
            </w:r>
            <w:r w:rsidR="00CE22CF" w:rsidRPr="001936ED">
              <w:rPr>
                <w:rFonts w:eastAsia="Times New Roman"/>
                <w:b/>
                <w:bCs/>
                <w:sz w:val="16"/>
                <w:szCs w:val="16"/>
                <w:lang w:eastAsia="en-US" w:bidi="ar-SA"/>
              </w:rPr>
              <w:t xml:space="preserve">. </w:t>
            </w:r>
            <w:r w:rsidR="00AB151D" w:rsidRPr="001936ED">
              <w:rPr>
                <w:rFonts w:eastAsia="Times New Roman"/>
                <w:b/>
                <w:bCs/>
                <w:sz w:val="16"/>
                <w:szCs w:val="16"/>
                <w:lang w:eastAsia="en-US" w:bidi="ar-SA"/>
              </w:rPr>
              <w:t>%</w:t>
            </w:r>
          </w:p>
        </w:tc>
      </w:tr>
      <w:tr w:rsidR="00C033A7" w:rsidRPr="001936ED" w:rsidTr="00CE22CF">
        <w:trPr>
          <w:trHeight w:val="255"/>
          <w:jc w:val="center"/>
        </w:trPr>
        <w:tc>
          <w:tcPr>
            <w:tcW w:w="2209" w:type="dxa"/>
            <w:tcBorders>
              <w:bottom w:val="single" w:sz="12" w:space="0" w:color="auto"/>
            </w:tcBorders>
            <w:shd w:val="clear" w:color="auto" w:fill="auto"/>
            <w:vAlign w:val="center"/>
            <w:hideMark/>
          </w:tcPr>
          <w:p w:rsidR="00C033A7" w:rsidRPr="001936ED" w:rsidRDefault="005C5273" w:rsidP="000B28FF">
            <w:pPr>
              <w:bidi w:val="0"/>
              <w:rPr>
                <w:rFonts w:eastAsia="Times New Roman"/>
                <w:b/>
                <w:bCs/>
                <w:sz w:val="16"/>
                <w:szCs w:val="16"/>
                <w:lang w:eastAsia="en-US" w:bidi="ar-SA"/>
              </w:rPr>
            </w:pPr>
            <w:r w:rsidRPr="001936ED">
              <w:rPr>
                <w:rFonts w:eastAsia="Times New Roman"/>
                <w:b/>
                <w:bCs/>
                <w:sz w:val="16"/>
                <w:szCs w:val="16"/>
                <w:lang w:eastAsia="en-US" w:bidi="ar-SA"/>
              </w:rPr>
              <w:t>Production</w:t>
            </w:r>
          </w:p>
        </w:tc>
        <w:tc>
          <w:tcPr>
            <w:tcW w:w="1521" w:type="dxa"/>
            <w:tcBorders>
              <w:bottom w:val="single" w:sz="12" w:space="0" w:color="auto"/>
            </w:tcBorders>
            <w:shd w:val="clear" w:color="auto" w:fill="auto"/>
            <w:noWrap/>
            <w:vAlign w:val="center"/>
            <w:hideMark/>
          </w:tcPr>
          <w:p w:rsidR="00C033A7" w:rsidRPr="001936ED" w:rsidRDefault="005C5273" w:rsidP="004363E3">
            <w:pPr>
              <w:bidi w:val="0"/>
              <w:jc w:val="right"/>
              <w:rPr>
                <w:rFonts w:eastAsia="Times New Roman"/>
                <w:b/>
                <w:bCs/>
                <w:sz w:val="16"/>
                <w:szCs w:val="16"/>
                <w:lang w:eastAsia="en-US" w:bidi="ar-SA"/>
              </w:rPr>
            </w:pPr>
            <w:r w:rsidRPr="001936ED">
              <w:rPr>
                <w:rFonts w:eastAsia="Times New Roman"/>
                <w:b/>
                <w:bCs/>
                <w:sz w:val="16"/>
                <w:szCs w:val="16"/>
                <w:lang w:eastAsia="en-US" w:bidi="ar-SA"/>
              </w:rPr>
              <w:t>10,</w:t>
            </w:r>
            <w:r w:rsidR="004363E3" w:rsidRPr="001936ED">
              <w:rPr>
                <w:rFonts w:eastAsia="Times New Roman"/>
                <w:b/>
                <w:bCs/>
                <w:sz w:val="16"/>
                <w:szCs w:val="16"/>
                <w:lang w:eastAsia="en-US" w:bidi="ar-SA"/>
              </w:rPr>
              <w:t>486</w:t>
            </w:r>
          </w:p>
        </w:tc>
        <w:tc>
          <w:tcPr>
            <w:tcW w:w="1160" w:type="dxa"/>
            <w:tcBorders>
              <w:bottom w:val="single" w:sz="12" w:space="0" w:color="auto"/>
            </w:tcBorders>
            <w:shd w:val="clear" w:color="auto" w:fill="auto"/>
            <w:noWrap/>
            <w:vAlign w:val="center"/>
            <w:hideMark/>
          </w:tcPr>
          <w:p w:rsidR="00C033A7" w:rsidRPr="001936ED" w:rsidRDefault="00C033A7"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100.0</w:t>
            </w:r>
          </w:p>
        </w:tc>
        <w:tc>
          <w:tcPr>
            <w:tcW w:w="2511" w:type="dxa"/>
            <w:tcBorders>
              <w:bottom w:val="single" w:sz="12" w:space="0" w:color="auto"/>
            </w:tcBorders>
            <w:shd w:val="clear" w:color="auto" w:fill="auto"/>
            <w:noWrap/>
            <w:vAlign w:val="center"/>
            <w:hideMark/>
          </w:tcPr>
          <w:p w:rsidR="00C033A7" w:rsidRPr="001936ED" w:rsidRDefault="004363E3" w:rsidP="004363E3">
            <w:pPr>
              <w:bidi w:val="0"/>
              <w:jc w:val="right"/>
              <w:rPr>
                <w:rFonts w:eastAsia="Times New Roman"/>
                <w:b/>
                <w:bCs/>
                <w:sz w:val="16"/>
                <w:szCs w:val="16"/>
                <w:lang w:eastAsia="en-US" w:bidi="ar-SA"/>
              </w:rPr>
            </w:pPr>
            <w:r w:rsidRPr="001936ED">
              <w:rPr>
                <w:rFonts w:eastAsia="Times New Roman"/>
                <w:b/>
                <w:bCs/>
                <w:sz w:val="16"/>
                <w:szCs w:val="16"/>
                <w:lang w:eastAsia="en-US" w:bidi="ar-SA"/>
              </w:rPr>
              <w:t>August</w:t>
            </w:r>
            <w:r w:rsidR="00C033A7" w:rsidRPr="001936ED">
              <w:rPr>
                <w:rFonts w:eastAsia="Times New Roman"/>
                <w:b/>
                <w:bCs/>
                <w:sz w:val="16"/>
                <w:szCs w:val="16"/>
                <w:lang w:eastAsia="en-US" w:bidi="ar-SA"/>
              </w:rPr>
              <w:t xml:space="preserve"> (</w:t>
            </w:r>
            <w:r w:rsidRPr="001936ED">
              <w:rPr>
                <w:rFonts w:eastAsia="Times New Roman"/>
                <w:b/>
                <w:bCs/>
                <w:sz w:val="16"/>
                <w:szCs w:val="16"/>
                <w:lang w:eastAsia="en-US" w:bidi="ar-SA"/>
              </w:rPr>
              <w:t>1,084</w:t>
            </w:r>
            <w:r w:rsidR="00C033A7" w:rsidRPr="001936ED">
              <w:rPr>
                <w:rFonts w:eastAsia="Times New Roman"/>
                <w:b/>
                <w:bCs/>
                <w:sz w:val="16"/>
                <w:szCs w:val="16"/>
                <w:lang w:eastAsia="en-US" w:bidi="ar-SA"/>
              </w:rPr>
              <w:t>)</w:t>
            </w:r>
          </w:p>
        </w:tc>
        <w:tc>
          <w:tcPr>
            <w:tcW w:w="2327" w:type="dxa"/>
            <w:tcBorders>
              <w:bottom w:val="single" w:sz="12" w:space="0" w:color="auto"/>
            </w:tcBorders>
            <w:shd w:val="clear" w:color="auto" w:fill="auto"/>
            <w:noWrap/>
            <w:vAlign w:val="center"/>
            <w:hideMark/>
          </w:tcPr>
          <w:p w:rsidR="00C033A7" w:rsidRPr="001936ED" w:rsidRDefault="004363E3" w:rsidP="004363E3">
            <w:pPr>
              <w:bidi w:val="0"/>
              <w:jc w:val="right"/>
              <w:rPr>
                <w:rFonts w:eastAsia="Times New Roman"/>
                <w:b/>
                <w:bCs/>
                <w:sz w:val="16"/>
                <w:szCs w:val="16"/>
                <w:lang w:eastAsia="en-US" w:bidi="ar-SA"/>
              </w:rPr>
            </w:pPr>
            <w:r w:rsidRPr="001936ED">
              <w:rPr>
                <w:rFonts w:eastAsia="Times New Roman"/>
                <w:b/>
                <w:bCs/>
                <w:sz w:val="16"/>
                <w:szCs w:val="16"/>
                <w:lang w:eastAsia="en-US" w:bidi="ar-SA"/>
              </w:rPr>
              <w:t>August</w:t>
            </w:r>
            <w:r w:rsidR="00C033A7" w:rsidRPr="001936ED">
              <w:rPr>
                <w:rFonts w:eastAsia="Times New Roman"/>
                <w:b/>
                <w:bCs/>
                <w:sz w:val="16"/>
                <w:szCs w:val="16"/>
                <w:lang w:eastAsia="en-US" w:bidi="ar-SA"/>
              </w:rPr>
              <w:t xml:space="preserve"> ( </w:t>
            </w:r>
            <w:r w:rsidRPr="001936ED">
              <w:rPr>
                <w:rFonts w:eastAsia="Times New Roman"/>
                <w:b/>
                <w:bCs/>
                <w:sz w:val="16"/>
                <w:szCs w:val="16"/>
                <w:lang w:eastAsia="en-US" w:bidi="ar-SA"/>
              </w:rPr>
              <w:t>10.3</w:t>
            </w:r>
            <w:r w:rsidR="005C5273" w:rsidRPr="001936ED">
              <w:rPr>
                <w:rFonts w:eastAsia="Times New Roman"/>
                <w:b/>
                <w:bCs/>
                <w:sz w:val="16"/>
                <w:szCs w:val="16"/>
                <w:lang w:eastAsia="en-US" w:bidi="ar-SA"/>
              </w:rPr>
              <w:t>)</w:t>
            </w:r>
          </w:p>
        </w:tc>
      </w:tr>
      <w:tr w:rsidR="00984F5B" w:rsidRPr="001936ED" w:rsidTr="00CE22CF">
        <w:trPr>
          <w:trHeight w:val="255"/>
          <w:jc w:val="center"/>
        </w:trPr>
        <w:tc>
          <w:tcPr>
            <w:tcW w:w="2209" w:type="dxa"/>
            <w:tcBorders>
              <w:top w:val="single" w:sz="12" w:space="0" w:color="auto"/>
              <w:bottom w:val="dotted" w:sz="4" w:space="0" w:color="auto"/>
            </w:tcBorders>
            <w:shd w:val="clear" w:color="auto" w:fill="auto"/>
            <w:vAlign w:val="center"/>
            <w:hideMark/>
          </w:tcPr>
          <w:p w:rsidR="00984F5B" w:rsidRPr="001936ED" w:rsidRDefault="00984F5B" w:rsidP="000B28FF">
            <w:pPr>
              <w:bidi w:val="0"/>
              <w:rPr>
                <w:rFonts w:eastAsia="Times New Roman"/>
                <w:sz w:val="16"/>
                <w:szCs w:val="16"/>
                <w:lang w:eastAsia="en-US" w:bidi="ar-SA"/>
              </w:rPr>
            </w:pPr>
            <w:r w:rsidRPr="001936ED">
              <w:rPr>
                <w:rFonts w:eastAsia="Times New Roman"/>
                <w:sz w:val="16"/>
                <w:szCs w:val="16"/>
                <w:lang w:eastAsia="en-US" w:bidi="ar-SA"/>
              </w:rPr>
              <w:t>Thermal</w:t>
            </w:r>
          </w:p>
        </w:tc>
        <w:tc>
          <w:tcPr>
            <w:tcW w:w="1521" w:type="dxa"/>
            <w:tcBorders>
              <w:top w:val="single" w:sz="12" w:space="0" w:color="auto"/>
              <w:bottom w:val="dotted" w:sz="4" w:space="0" w:color="auto"/>
            </w:tcBorders>
            <w:shd w:val="clear" w:color="auto" w:fill="auto"/>
            <w:noWrap/>
            <w:vAlign w:val="center"/>
            <w:hideMark/>
          </w:tcPr>
          <w:p w:rsidR="00984F5B" w:rsidRPr="001936ED" w:rsidRDefault="00984F5B" w:rsidP="004363E3">
            <w:pPr>
              <w:bidi w:val="0"/>
              <w:jc w:val="right"/>
              <w:rPr>
                <w:rFonts w:eastAsia="Times New Roman"/>
                <w:sz w:val="16"/>
                <w:szCs w:val="16"/>
                <w:lang w:eastAsia="en-US" w:bidi="ar-SA"/>
              </w:rPr>
            </w:pPr>
            <w:r w:rsidRPr="001936ED">
              <w:rPr>
                <w:rFonts w:eastAsia="Times New Roman"/>
                <w:sz w:val="16"/>
                <w:szCs w:val="16"/>
                <w:lang w:eastAsia="en-US" w:bidi="ar-SA"/>
              </w:rPr>
              <w:t>10,</w:t>
            </w:r>
            <w:r w:rsidR="004363E3" w:rsidRPr="001936ED">
              <w:rPr>
                <w:rFonts w:eastAsia="Times New Roman"/>
                <w:sz w:val="16"/>
                <w:szCs w:val="16"/>
                <w:lang w:eastAsia="en-US" w:bidi="ar-SA"/>
              </w:rPr>
              <w:t>378</w:t>
            </w:r>
          </w:p>
        </w:tc>
        <w:tc>
          <w:tcPr>
            <w:tcW w:w="1160" w:type="dxa"/>
            <w:tcBorders>
              <w:top w:val="single" w:sz="12" w:space="0" w:color="auto"/>
              <w:bottom w:val="dotted" w:sz="4" w:space="0" w:color="auto"/>
            </w:tcBorders>
            <w:shd w:val="clear" w:color="auto" w:fill="auto"/>
            <w:noWrap/>
            <w:vAlign w:val="center"/>
            <w:hideMark/>
          </w:tcPr>
          <w:p w:rsidR="00984F5B" w:rsidRPr="001936ED" w:rsidRDefault="00984F5B" w:rsidP="000B28FF">
            <w:pPr>
              <w:bidi w:val="0"/>
              <w:jc w:val="right"/>
              <w:rPr>
                <w:rFonts w:eastAsia="Times New Roman"/>
                <w:sz w:val="16"/>
                <w:szCs w:val="16"/>
                <w:lang w:eastAsia="en-US" w:bidi="ar-SA"/>
              </w:rPr>
            </w:pPr>
            <w:r w:rsidRPr="001936ED">
              <w:rPr>
                <w:rFonts w:eastAsia="Times New Roman"/>
                <w:sz w:val="16"/>
                <w:szCs w:val="16"/>
                <w:lang w:eastAsia="en-US" w:bidi="ar-SA"/>
              </w:rPr>
              <w:t>99.1</w:t>
            </w:r>
          </w:p>
        </w:tc>
        <w:tc>
          <w:tcPr>
            <w:tcW w:w="2511" w:type="dxa"/>
            <w:tcBorders>
              <w:top w:val="single" w:sz="12" w:space="0" w:color="auto"/>
              <w:bottom w:val="dotted" w:sz="4" w:space="0" w:color="auto"/>
            </w:tcBorders>
            <w:shd w:val="clear" w:color="auto" w:fill="auto"/>
            <w:noWrap/>
            <w:vAlign w:val="center"/>
            <w:hideMark/>
          </w:tcPr>
          <w:p w:rsidR="00984F5B" w:rsidRPr="001936ED" w:rsidRDefault="004363E3" w:rsidP="004363E3">
            <w:pPr>
              <w:bidi w:val="0"/>
              <w:jc w:val="right"/>
              <w:rPr>
                <w:rFonts w:eastAsia="Times New Roman"/>
                <w:sz w:val="16"/>
                <w:szCs w:val="16"/>
                <w:lang w:eastAsia="en-US" w:bidi="ar-SA"/>
              </w:rPr>
            </w:pPr>
            <w:r w:rsidRPr="001936ED">
              <w:rPr>
                <w:rFonts w:eastAsia="Times New Roman"/>
                <w:sz w:val="16"/>
                <w:szCs w:val="16"/>
                <w:lang w:eastAsia="en-US" w:bidi="ar-SA"/>
              </w:rPr>
              <w:t>August</w:t>
            </w:r>
            <w:r w:rsidR="00984F5B" w:rsidRPr="001936ED">
              <w:rPr>
                <w:rFonts w:eastAsia="Times New Roman"/>
                <w:sz w:val="16"/>
                <w:szCs w:val="16"/>
                <w:lang w:eastAsia="en-US" w:bidi="ar-SA"/>
              </w:rPr>
              <w:t xml:space="preserve"> (</w:t>
            </w:r>
            <w:r w:rsidRPr="001936ED">
              <w:rPr>
                <w:rFonts w:eastAsia="Times New Roman"/>
                <w:sz w:val="16"/>
                <w:szCs w:val="16"/>
                <w:lang w:eastAsia="en-US" w:bidi="ar-SA"/>
              </w:rPr>
              <w:t>1,083</w:t>
            </w:r>
            <w:r w:rsidR="00984F5B" w:rsidRPr="001936ED">
              <w:rPr>
                <w:rFonts w:eastAsia="Times New Roman"/>
                <w:sz w:val="16"/>
                <w:szCs w:val="16"/>
                <w:lang w:eastAsia="en-US" w:bidi="ar-SA"/>
              </w:rPr>
              <w:t>)</w:t>
            </w:r>
          </w:p>
        </w:tc>
        <w:tc>
          <w:tcPr>
            <w:tcW w:w="2327" w:type="dxa"/>
            <w:tcBorders>
              <w:top w:val="single" w:sz="12" w:space="0" w:color="auto"/>
              <w:bottom w:val="dotted" w:sz="4" w:space="0" w:color="auto"/>
            </w:tcBorders>
            <w:shd w:val="clear" w:color="auto" w:fill="auto"/>
            <w:noWrap/>
            <w:vAlign w:val="center"/>
            <w:hideMark/>
          </w:tcPr>
          <w:p w:rsidR="00984F5B" w:rsidRPr="001936ED" w:rsidRDefault="004363E3" w:rsidP="004363E3">
            <w:pPr>
              <w:bidi w:val="0"/>
              <w:jc w:val="right"/>
              <w:rPr>
                <w:rFonts w:eastAsia="Times New Roman"/>
                <w:sz w:val="16"/>
                <w:szCs w:val="16"/>
                <w:lang w:eastAsia="en-US" w:bidi="ar-SA"/>
              </w:rPr>
            </w:pPr>
            <w:r w:rsidRPr="001936ED">
              <w:rPr>
                <w:rFonts w:eastAsia="Times New Roman"/>
                <w:sz w:val="16"/>
                <w:szCs w:val="16"/>
                <w:lang w:eastAsia="en-US" w:bidi="ar-SA"/>
              </w:rPr>
              <w:t xml:space="preserve">August </w:t>
            </w:r>
            <w:r w:rsidR="00984F5B" w:rsidRPr="001936ED">
              <w:rPr>
                <w:rFonts w:eastAsia="Times New Roman"/>
                <w:sz w:val="16"/>
                <w:szCs w:val="16"/>
                <w:lang w:eastAsia="en-US" w:bidi="ar-SA"/>
              </w:rPr>
              <w:t>(</w:t>
            </w:r>
            <w:r w:rsidRPr="001936ED">
              <w:rPr>
                <w:rFonts w:eastAsia="Times New Roman"/>
                <w:sz w:val="16"/>
                <w:szCs w:val="16"/>
                <w:lang w:eastAsia="en-US" w:bidi="ar-SA"/>
              </w:rPr>
              <w:t>10.4</w:t>
            </w:r>
            <w:r w:rsidR="00984F5B" w:rsidRPr="001936ED">
              <w:rPr>
                <w:rFonts w:eastAsia="Times New Roman"/>
                <w:sz w:val="16"/>
                <w:szCs w:val="16"/>
                <w:lang w:eastAsia="en-US" w:bidi="ar-SA"/>
              </w:rPr>
              <w:t>)</w:t>
            </w:r>
          </w:p>
        </w:tc>
      </w:tr>
      <w:tr w:rsidR="00C033A7" w:rsidRPr="001936ED" w:rsidTr="00CE22CF">
        <w:trPr>
          <w:trHeight w:val="255"/>
          <w:jc w:val="center"/>
        </w:trPr>
        <w:tc>
          <w:tcPr>
            <w:tcW w:w="2209" w:type="dxa"/>
            <w:tcBorders>
              <w:top w:val="dotted" w:sz="4" w:space="0" w:color="auto"/>
              <w:bottom w:val="single" w:sz="12" w:space="0" w:color="auto"/>
            </w:tcBorders>
            <w:shd w:val="clear" w:color="auto" w:fill="auto"/>
            <w:vAlign w:val="center"/>
            <w:hideMark/>
          </w:tcPr>
          <w:p w:rsidR="00C033A7" w:rsidRPr="001936ED" w:rsidRDefault="005C5273" w:rsidP="000B28FF">
            <w:pPr>
              <w:bidi w:val="0"/>
              <w:rPr>
                <w:rFonts w:eastAsia="Times New Roman"/>
                <w:sz w:val="16"/>
                <w:szCs w:val="16"/>
                <w:lang w:eastAsia="en-US" w:bidi="ar-SA"/>
              </w:rPr>
            </w:pPr>
            <w:r w:rsidRPr="001936ED">
              <w:rPr>
                <w:rFonts w:eastAsia="Times New Roman"/>
                <w:sz w:val="16"/>
                <w:szCs w:val="16"/>
                <w:lang w:eastAsia="en-US" w:bidi="ar-SA"/>
              </w:rPr>
              <w:t>Hydraulic</w:t>
            </w:r>
          </w:p>
        </w:tc>
        <w:tc>
          <w:tcPr>
            <w:tcW w:w="1521" w:type="dxa"/>
            <w:tcBorders>
              <w:top w:val="dotted" w:sz="4" w:space="0" w:color="auto"/>
              <w:bottom w:val="single" w:sz="12" w:space="0" w:color="auto"/>
            </w:tcBorders>
            <w:shd w:val="clear" w:color="auto" w:fill="auto"/>
            <w:noWrap/>
            <w:vAlign w:val="center"/>
            <w:hideMark/>
          </w:tcPr>
          <w:p w:rsidR="00C033A7" w:rsidRPr="001936ED" w:rsidRDefault="004363E3" w:rsidP="000B28FF">
            <w:pPr>
              <w:bidi w:val="0"/>
              <w:jc w:val="right"/>
              <w:rPr>
                <w:rFonts w:eastAsia="Times New Roman"/>
                <w:sz w:val="16"/>
                <w:szCs w:val="16"/>
                <w:lang w:eastAsia="en-US" w:bidi="ar-SA"/>
              </w:rPr>
            </w:pPr>
            <w:r w:rsidRPr="001936ED">
              <w:rPr>
                <w:rFonts w:eastAsia="Times New Roman"/>
                <w:sz w:val="16"/>
                <w:szCs w:val="16"/>
                <w:lang w:eastAsia="en-US" w:bidi="ar-SA"/>
              </w:rPr>
              <w:t>107</w:t>
            </w:r>
          </w:p>
        </w:tc>
        <w:tc>
          <w:tcPr>
            <w:tcW w:w="1160" w:type="dxa"/>
            <w:tcBorders>
              <w:top w:val="dotted" w:sz="4" w:space="0" w:color="auto"/>
              <w:bottom w:val="single" w:sz="12" w:space="0" w:color="auto"/>
            </w:tcBorders>
            <w:shd w:val="clear" w:color="auto" w:fill="auto"/>
            <w:noWrap/>
            <w:vAlign w:val="center"/>
            <w:hideMark/>
          </w:tcPr>
          <w:p w:rsidR="00C033A7" w:rsidRPr="001936ED" w:rsidRDefault="002D5679" w:rsidP="000B28FF">
            <w:pPr>
              <w:bidi w:val="0"/>
              <w:jc w:val="right"/>
              <w:rPr>
                <w:rFonts w:eastAsia="Times New Roman"/>
                <w:sz w:val="16"/>
                <w:szCs w:val="16"/>
                <w:lang w:eastAsia="en-US" w:bidi="ar-SA"/>
              </w:rPr>
            </w:pPr>
            <w:r w:rsidRPr="001936ED">
              <w:rPr>
                <w:rFonts w:eastAsia="Times New Roman"/>
                <w:sz w:val="16"/>
                <w:szCs w:val="16"/>
                <w:lang w:eastAsia="en-US" w:bidi="ar-SA"/>
              </w:rPr>
              <w:t>0.</w:t>
            </w:r>
            <w:r w:rsidR="00B9008F" w:rsidRPr="001936ED">
              <w:rPr>
                <w:rFonts w:eastAsia="Times New Roman"/>
                <w:sz w:val="16"/>
                <w:szCs w:val="16"/>
                <w:lang w:eastAsia="en-US" w:bidi="ar-SA"/>
              </w:rPr>
              <w:t>9</w:t>
            </w:r>
          </w:p>
        </w:tc>
        <w:tc>
          <w:tcPr>
            <w:tcW w:w="2511" w:type="dxa"/>
            <w:tcBorders>
              <w:top w:val="dotted" w:sz="4" w:space="0" w:color="auto"/>
              <w:bottom w:val="single" w:sz="12" w:space="0" w:color="auto"/>
            </w:tcBorders>
            <w:shd w:val="clear" w:color="auto" w:fill="auto"/>
            <w:noWrap/>
            <w:vAlign w:val="center"/>
            <w:hideMark/>
          </w:tcPr>
          <w:p w:rsidR="00C033A7" w:rsidRPr="001936ED" w:rsidRDefault="004363E3" w:rsidP="004363E3">
            <w:pPr>
              <w:bidi w:val="0"/>
              <w:jc w:val="right"/>
              <w:rPr>
                <w:rFonts w:eastAsia="Times New Roman"/>
                <w:sz w:val="16"/>
                <w:szCs w:val="16"/>
                <w:lang w:eastAsia="en-US" w:bidi="ar-SA"/>
              </w:rPr>
            </w:pPr>
            <w:r w:rsidRPr="001936ED">
              <w:rPr>
                <w:rFonts w:eastAsia="Times New Roman"/>
                <w:sz w:val="16"/>
                <w:szCs w:val="16"/>
                <w:lang w:eastAsia="en-US" w:bidi="ar-SA"/>
              </w:rPr>
              <w:t>November</w:t>
            </w:r>
            <w:r w:rsidR="00C033A7" w:rsidRPr="001936ED">
              <w:rPr>
                <w:rFonts w:eastAsia="Times New Roman"/>
                <w:sz w:val="16"/>
                <w:szCs w:val="16"/>
                <w:lang w:eastAsia="en-US" w:bidi="ar-SA"/>
              </w:rPr>
              <w:t xml:space="preserve"> (</w:t>
            </w:r>
            <w:r w:rsidRPr="001936ED">
              <w:rPr>
                <w:rFonts w:eastAsia="Times New Roman"/>
                <w:sz w:val="16"/>
                <w:szCs w:val="16"/>
                <w:lang w:eastAsia="en-US" w:bidi="ar-SA"/>
              </w:rPr>
              <w:t>35</w:t>
            </w:r>
            <w:r w:rsidR="00C033A7" w:rsidRPr="001936ED">
              <w:rPr>
                <w:rFonts w:eastAsia="Times New Roman"/>
                <w:sz w:val="16"/>
                <w:szCs w:val="16"/>
                <w:lang w:eastAsia="en-US" w:bidi="ar-SA"/>
              </w:rPr>
              <w:t>)</w:t>
            </w:r>
          </w:p>
        </w:tc>
        <w:tc>
          <w:tcPr>
            <w:tcW w:w="2327" w:type="dxa"/>
            <w:tcBorders>
              <w:top w:val="dotted" w:sz="4" w:space="0" w:color="auto"/>
              <w:bottom w:val="single" w:sz="12" w:space="0" w:color="auto"/>
            </w:tcBorders>
            <w:shd w:val="clear" w:color="auto" w:fill="auto"/>
            <w:noWrap/>
            <w:vAlign w:val="center"/>
            <w:hideMark/>
          </w:tcPr>
          <w:p w:rsidR="00C033A7" w:rsidRPr="001936ED" w:rsidRDefault="004363E3" w:rsidP="004363E3">
            <w:pPr>
              <w:bidi w:val="0"/>
              <w:jc w:val="right"/>
              <w:rPr>
                <w:rFonts w:eastAsia="Times New Roman"/>
                <w:sz w:val="16"/>
                <w:szCs w:val="16"/>
                <w:lang w:eastAsia="en-US" w:bidi="ar-SA"/>
              </w:rPr>
            </w:pPr>
            <w:r w:rsidRPr="001936ED">
              <w:rPr>
                <w:rFonts w:eastAsia="Times New Roman"/>
                <w:sz w:val="16"/>
                <w:szCs w:val="16"/>
                <w:lang w:eastAsia="en-US" w:bidi="ar-SA"/>
              </w:rPr>
              <w:t xml:space="preserve">November </w:t>
            </w:r>
            <w:r w:rsidR="00C033A7" w:rsidRPr="001936ED">
              <w:rPr>
                <w:rFonts w:eastAsia="Times New Roman"/>
                <w:sz w:val="16"/>
                <w:szCs w:val="16"/>
                <w:lang w:eastAsia="en-US" w:bidi="ar-SA"/>
              </w:rPr>
              <w:t>(</w:t>
            </w:r>
            <w:r w:rsidRPr="001936ED">
              <w:rPr>
                <w:rFonts w:eastAsia="Times New Roman"/>
                <w:sz w:val="16"/>
                <w:szCs w:val="16"/>
                <w:lang w:eastAsia="en-US" w:bidi="ar-SA"/>
              </w:rPr>
              <w:t>32.3</w:t>
            </w:r>
            <w:r w:rsidR="00C033A7" w:rsidRPr="001936ED">
              <w:rPr>
                <w:rFonts w:eastAsia="Times New Roman"/>
                <w:sz w:val="16"/>
                <w:szCs w:val="16"/>
                <w:lang w:eastAsia="en-US" w:bidi="ar-SA"/>
              </w:rPr>
              <w:t>)</w:t>
            </w:r>
          </w:p>
        </w:tc>
      </w:tr>
      <w:tr w:rsidR="00A07963" w:rsidRPr="001936ED" w:rsidTr="00CE22CF">
        <w:trPr>
          <w:trHeight w:val="255"/>
          <w:jc w:val="center"/>
        </w:trPr>
        <w:tc>
          <w:tcPr>
            <w:tcW w:w="2209" w:type="dxa"/>
            <w:tcBorders>
              <w:top w:val="single" w:sz="12" w:space="0" w:color="auto"/>
              <w:bottom w:val="single" w:sz="12" w:space="0" w:color="auto"/>
            </w:tcBorders>
            <w:shd w:val="clear" w:color="auto" w:fill="auto"/>
            <w:vAlign w:val="center"/>
            <w:hideMark/>
          </w:tcPr>
          <w:p w:rsidR="00A07963" w:rsidRPr="001936ED" w:rsidRDefault="00A07963" w:rsidP="000B28FF">
            <w:pPr>
              <w:bidi w:val="0"/>
              <w:rPr>
                <w:rFonts w:eastAsia="Times New Roman"/>
                <w:b/>
                <w:bCs/>
                <w:sz w:val="16"/>
                <w:szCs w:val="16"/>
                <w:lang w:eastAsia="en-US" w:bidi="ar-SA"/>
              </w:rPr>
            </w:pPr>
            <w:r w:rsidRPr="001936ED">
              <w:rPr>
                <w:rFonts w:eastAsia="Times New Roman"/>
                <w:b/>
                <w:bCs/>
                <w:sz w:val="16"/>
                <w:szCs w:val="16"/>
                <w:lang w:eastAsia="en-US" w:bidi="ar-SA"/>
              </w:rPr>
              <w:t>Purchases</w:t>
            </w:r>
          </w:p>
        </w:tc>
        <w:tc>
          <w:tcPr>
            <w:tcW w:w="1521" w:type="dxa"/>
            <w:tcBorders>
              <w:top w:val="single" w:sz="12" w:space="0" w:color="auto"/>
              <w:bottom w:val="single" w:sz="12" w:space="0" w:color="auto"/>
            </w:tcBorders>
            <w:shd w:val="clear" w:color="auto" w:fill="auto"/>
            <w:noWrap/>
            <w:vAlign w:val="center"/>
            <w:hideMark/>
          </w:tcPr>
          <w:p w:rsidR="00A07963" w:rsidRPr="001936ED" w:rsidRDefault="00B9008F" w:rsidP="00D54CCE">
            <w:pPr>
              <w:bidi w:val="0"/>
              <w:jc w:val="right"/>
              <w:rPr>
                <w:rFonts w:eastAsia="Times New Roman"/>
                <w:b/>
                <w:bCs/>
                <w:sz w:val="16"/>
                <w:szCs w:val="16"/>
                <w:lang w:eastAsia="en-US" w:bidi="ar-SA"/>
              </w:rPr>
            </w:pPr>
            <w:r w:rsidRPr="001936ED">
              <w:rPr>
                <w:rFonts w:eastAsia="Times New Roman"/>
                <w:b/>
                <w:bCs/>
                <w:sz w:val="16"/>
                <w:szCs w:val="16"/>
                <w:lang w:eastAsia="en-US" w:bidi="ar-SA"/>
              </w:rPr>
              <w:t>1,</w:t>
            </w:r>
            <w:r w:rsidR="00D54CCE" w:rsidRPr="001936ED">
              <w:rPr>
                <w:rFonts w:eastAsia="Times New Roman"/>
                <w:b/>
                <w:bCs/>
                <w:sz w:val="16"/>
                <w:szCs w:val="16"/>
                <w:lang w:eastAsia="en-US" w:bidi="ar-SA"/>
              </w:rPr>
              <w:t>557</w:t>
            </w:r>
          </w:p>
        </w:tc>
        <w:tc>
          <w:tcPr>
            <w:tcW w:w="1160" w:type="dxa"/>
            <w:tcBorders>
              <w:top w:val="single" w:sz="12" w:space="0" w:color="auto"/>
              <w:bottom w:val="single" w:sz="12" w:space="0" w:color="auto"/>
            </w:tcBorders>
            <w:shd w:val="clear" w:color="auto" w:fill="auto"/>
            <w:noWrap/>
            <w:vAlign w:val="center"/>
            <w:hideMark/>
          </w:tcPr>
          <w:p w:rsidR="00A07963" w:rsidRPr="001936ED" w:rsidRDefault="00A07963"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100.0</w:t>
            </w:r>
          </w:p>
        </w:tc>
        <w:tc>
          <w:tcPr>
            <w:tcW w:w="2511" w:type="dxa"/>
            <w:tcBorders>
              <w:top w:val="single" w:sz="12" w:space="0" w:color="auto"/>
              <w:bottom w:val="single" w:sz="12" w:space="0" w:color="auto"/>
            </w:tcBorders>
            <w:shd w:val="clear" w:color="auto" w:fill="auto"/>
            <w:noWrap/>
            <w:vAlign w:val="center"/>
            <w:hideMark/>
          </w:tcPr>
          <w:p w:rsidR="00A07963" w:rsidRPr="001936ED" w:rsidRDefault="00030726" w:rsidP="00030726">
            <w:pPr>
              <w:bidi w:val="0"/>
              <w:jc w:val="right"/>
              <w:rPr>
                <w:rFonts w:eastAsia="Times New Roman"/>
                <w:b/>
                <w:bCs/>
                <w:sz w:val="16"/>
                <w:szCs w:val="16"/>
                <w:lang w:eastAsia="en-US" w:bidi="ar-SA"/>
              </w:rPr>
            </w:pPr>
            <w:r w:rsidRPr="001936ED">
              <w:rPr>
                <w:rFonts w:eastAsia="Times New Roman"/>
                <w:b/>
                <w:bCs/>
                <w:sz w:val="16"/>
                <w:szCs w:val="16"/>
                <w:lang w:eastAsia="en-US" w:bidi="ar-SA"/>
              </w:rPr>
              <w:t>April</w:t>
            </w:r>
            <w:r w:rsidR="00B9008F" w:rsidRPr="001936ED">
              <w:rPr>
                <w:rFonts w:eastAsia="Times New Roman"/>
                <w:b/>
                <w:bCs/>
                <w:sz w:val="16"/>
                <w:szCs w:val="16"/>
                <w:lang w:eastAsia="en-US" w:bidi="ar-SA"/>
              </w:rPr>
              <w:t xml:space="preserve"> </w:t>
            </w:r>
            <w:r w:rsidR="00A07963" w:rsidRPr="001936ED">
              <w:rPr>
                <w:rFonts w:eastAsia="Times New Roman"/>
                <w:b/>
                <w:bCs/>
                <w:sz w:val="16"/>
                <w:szCs w:val="16"/>
                <w:lang w:eastAsia="en-US" w:bidi="ar-SA"/>
              </w:rPr>
              <w:t>(</w:t>
            </w:r>
            <w:r w:rsidRPr="001936ED">
              <w:rPr>
                <w:rFonts w:eastAsia="Times New Roman"/>
                <w:b/>
                <w:bCs/>
                <w:sz w:val="16"/>
                <w:szCs w:val="16"/>
                <w:lang w:eastAsia="en-US" w:bidi="ar-SA"/>
              </w:rPr>
              <w:t>240</w:t>
            </w:r>
            <w:r w:rsidR="00A07963" w:rsidRPr="001936ED">
              <w:rPr>
                <w:rFonts w:eastAsia="Times New Roman"/>
                <w:b/>
                <w:bCs/>
                <w:sz w:val="16"/>
                <w:szCs w:val="16"/>
                <w:lang w:eastAsia="en-US" w:bidi="ar-SA"/>
              </w:rPr>
              <w:t>)</w:t>
            </w:r>
          </w:p>
        </w:tc>
        <w:tc>
          <w:tcPr>
            <w:tcW w:w="2327" w:type="dxa"/>
            <w:tcBorders>
              <w:top w:val="single" w:sz="12" w:space="0" w:color="auto"/>
              <w:bottom w:val="single" w:sz="12" w:space="0" w:color="auto"/>
            </w:tcBorders>
            <w:shd w:val="clear" w:color="auto" w:fill="auto"/>
            <w:noWrap/>
            <w:vAlign w:val="center"/>
            <w:hideMark/>
          </w:tcPr>
          <w:p w:rsidR="00A07963" w:rsidRPr="001936ED" w:rsidRDefault="00030726" w:rsidP="00030726">
            <w:pPr>
              <w:bidi w:val="0"/>
              <w:jc w:val="right"/>
              <w:rPr>
                <w:rFonts w:eastAsia="Times New Roman"/>
                <w:b/>
                <w:bCs/>
                <w:sz w:val="16"/>
                <w:szCs w:val="16"/>
                <w:lang w:eastAsia="en-US" w:bidi="ar-SA"/>
              </w:rPr>
            </w:pPr>
            <w:r w:rsidRPr="001936ED">
              <w:rPr>
                <w:rFonts w:eastAsia="Times New Roman"/>
                <w:b/>
                <w:bCs/>
                <w:sz w:val="16"/>
                <w:szCs w:val="16"/>
                <w:lang w:eastAsia="en-US" w:bidi="ar-SA"/>
              </w:rPr>
              <w:t xml:space="preserve">April </w:t>
            </w:r>
            <w:r w:rsidR="00A07963" w:rsidRPr="001936ED">
              <w:rPr>
                <w:rFonts w:eastAsia="Times New Roman"/>
                <w:b/>
                <w:bCs/>
                <w:sz w:val="16"/>
                <w:szCs w:val="16"/>
                <w:lang w:eastAsia="en-US" w:bidi="ar-SA"/>
              </w:rPr>
              <w:t xml:space="preserve">( </w:t>
            </w:r>
            <w:r w:rsidR="00B9008F" w:rsidRPr="001936ED">
              <w:rPr>
                <w:rFonts w:eastAsia="Times New Roman"/>
                <w:b/>
                <w:bCs/>
                <w:sz w:val="16"/>
                <w:szCs w:val="16"/>
                <w:lang w:eastAsia="en-US" w:bidi="ar-SA"/>
              </w:rPr>
              <w:t>1</w:t>
            </w:r>
            <w:r w:rsidRPr="001936ED">
              <w:rPr>
                <w:rFonts w:eastAsia="Times New Roman"/>
                <w:b/>
                <w:bCs/>
                <w:sz w:val="16"/>
                <w:szCs w:val="16"/>
                <w:lang w:eastAsia="en-US" w:bidi="ar-SA"/>
              </w:rPr>
              <w:t>5</w:t>
            </w:r>
            <w:r w:rsidR="00B9008F" w:rsidRPr="001936ED">
              <w:rPr>
                <w:rFonts w:eastAsia="Times New Roman"/>
                <w:b/>
                <w:bCs/>
                <w:sz w:val="16"/>
                <w:szCs w:val="16"/>
                <w:lang w:eastAsia="en-US" w:bidi="ar-SA"/>
              </w:rPr>
              <w:t>.4</w:t>
            </w:r>
            <w:r w:rsidR="00A07963" w:rsidRPr="001936ED">
              <w:rPr>
                <w:rFonts w:eastAsia="Times New Roman"/>
                <w:b/>
                <w:bCs/>
                <w:sz w:val="16"/>
                <w:szCs w:val="16"/>
                <w:lang w:eastAsia="en-US" w:bidi="ar-SA"/>
              </w:rPr>
              <w:t>)</w:t>
            </w:r>
          </w:p>
        </w:tc>
      </w:tr>
      <w:tr w:rsidR="00984F5B" w:rsidRPr="001936ED" w:rsidTr="00CE22CF">
        <w:trPr>
          <w:trHeight w:val="255"/>
          <w:jc w:val="center"/>
        </w:trPr>
        <w:tc>
          <w:tcPr>
            <w:tcW w:w="2209" w:type="dxa"/>
            <w:tcBorders>
              <w:top w:val="single" w:sz="12" w:space="0" w:color="auto"/>
              <w:bottom w:val="dotted" w:sz="4" w:space="0" w:color="auto"/>
            </w:tcBorders>
            <w:shd w:val="clear" w:color="auto" w:fill="auto"/>
            <w:vAlign w:val="center"/>
            <w:hideMark/>
          </w:tcPr>
          <w:p w:rsidR="00984F5B" w:rsidRPr="001936ED" w:rsidRDefault="00984F5B" w:rsidP="000B28FF">
            <w:pPr>
              <w:bidi w:val="0"/>
              <w:rPr>
                <w:rFonts w:eastAsia="Times New Roman"/>
                <w:sz w:val="16"/>
                <w:szCs w:val="16"/>
                <w:lang w:eastAsia="en-US" w:bidi="ar-SA"/>
              </w:rPr>
            </w:pPr>
            <w:r w:rsidRPr="001936ED">
              <w:rPr>
                <w:rFonts w:eastAsia="Times New Roman"/>
                <w:sz w:val="16"/>
                <w:szCs w:val="16"/>
                <w:lang w:eastAsia="en-US" w:bidi="ar-SA"/>
              </w:rPr>
              <w:t>Thermal</w:t>
            </w:r>
          </w:p>
        </w:tc>
        <w:tc>
          <w:tcPr>
            <w:tcW w:w="1521" w:type="dxa"/>
            <w:tcBorders>
              <w:top w:val="single" w:sz="12" w:space="0" w:color="auto"/>
              <w:bottom w:val="dotted" w:sz="4" w:space="0" w:color="auto"/>
            </w:tcBorders>
            <w:shd w:val="clear" w:color="auto" w:fill="auto"/>
            <w:noWrap/>
            <w:vAlign w:val="center"/>
            <w:hideMark/>
          </w:tcPr>
          <w:p w:rsidR="00984F5B" w:rsidRPr="001936ED" w:rsidRDefault="00D54CCE" w:rsidP="000B28FF">
            <w:pPr>
              <w:bidi w:val="0"/>
              <w:jc w:val="right"/>
              <w:rPr>
                <w:rFonts w:eastAsia="Times New Roman"/>
                <w:sz w:val="16"/>
                <w:szCs w:val="16"/>
                <w:lang w:eastAsia="en-US" w:bidi="ar-SA"/>
              </w:rPr>
            </w:pPr>
            <w:r w:rsidRPr="001936ED">
              <w:rPr>
                <w:rFonts w:eastAsia="Times New Roman"/>
                <w:sz w:val="16"/>
                <w:szCs w:val="16"/>
                <w:lang w:eastAsia="en-US" w:bidi="ar-SA"/>
              </w:rPr>
              <w:t>791</w:t>
            </w:r>
          </w:p>
        </w:tc>
        <w:tc>
          <w:tcPr>
            <w:tcW w:w="1160" w:type="dxa"/>
            <w:tcBorders>
              <w:top w:val="single" w:sz="12" w:space="0" w:color="auto"/>
              <w:bottom w:val="dotted" w:sz="4" w:space="0" w:color="auto"/>
            </w:tcBorders>
            <w:shd w:val="clear" w:color="auto" w:fill="auto"/>
            <w:noWrap/>
            <w:vAlign w:val="center"/>
            <w:hideMark/>
          </w:tcPr>
          <w:p w:rsidR="00984F5B" w:rsidRPr="001936ED" w:rsidRDefault="00D54CCE" w:rsidP="000B28FF">
            <w:pPr>
              <w:bidi w:val="0"/>
              <w:jc w:val="right"/>
              <w:rPr>
                <w:rFonts w:eastAsia="Times New Roman"/>
                <w:sz w:val="16"/>
                <w:szCs w:val="16"/>
                <w:lang w:eastAsia="en-US" w:bidi="ar-SA"/>
              </w:rPr>
            </w:pPr>
            <w:r w:rsidRPr="001936ED">
              <w:rPr>
                <w:rFonts w:eastAsia="Times New Roman"/>
                <w:sz w:val="16"/>
                <w:szCs w:val="16"/>
                <w:lang w:eastAsia="en-US" w:bidi="ar-SA"/>
              </w:rPr>
              <w:t>50.8</w:t>
            </w:r>
          </w:p>
        </w:tc>
        <w:tc>
          <w:tcPr>
            <w:tcW w:w="2511" w:type="dxa"/>
            <w:tcBorders>
              <w:top w:val="single" w:sz="12" w:space="0" w:color="auto"/>
              <w:bottom w:val="dotted" w:sz="4" w:space="0" w:color="auto"/>
            </w:tcBorders>
            <w:shd w:val="clear" w:color="auto" w:fill="auto"/>
            <w:noWrap/>
            <w:vAlign w:val="center"/>
            <w:hideMark/>
          </w:tcPr>
          <w:p w:rsidR="00984F5B" w:rsidRPr="001936ED" w:rsidRDefault="00D54CCE" w:rsidP="007B7CE5">
            <w:pPr>
              <w:bidi w:val="0"/>
              <w:jc w:val="right"/>
              <w:rPr>
                <w:rFonts w:eastAsia="Times New Roman"/>
                <w:sz w:val="16"/>
                <w:szCs w:val="16"/>
                <w:lang w:eastAsia="en-US" w:bidi="ar-SA"/>
              </w:rPr>
            </w:pPr>
            <w:r w:rsidRPr="001936ED">
              <w:rPr>
                <w:rFonts w:eastAsia="Times New Roman"/>
                <w:sz w:val="16"/>
                <w:szCs w:val="16"/>
                <w:lang w:eastAsia="en-US" w:bidi="ar-SA"/>
              </w:rPr>
              <w:t>November</w:t>
            </w:r>
            <w:r w:rsidR="00984F5B" w:rsidRPr="001936ED">
              <w:rPr>
                <w:rFonts w:eastAsia="Times New Roman"/>
                <w:sz w:val="16"/>
                <w:szCs w:val="16"/>
                <w:lang w:eastAsia="en-US" w:bidi="ar-SA"/>
              </w:rPr>
              <w:t xml:space="preserve"> (15</w:t>
            </w:r>
            <w:r w:rsidR="007B7CE5" w:rsidRPr="001936ED">
              <w:rPr>
                <w:rFonts w:eastAsia="Times New Roman"/>
                <w:sz w:val="16"/>
                <w:szCs w:val="16"/>
                <w:lang w:eastAsia="en-US" w:bidi="ar-SA"/>
              </w:rPr>
              <w:t>4</w:t>
            </w:r>
            <w:r w:rsidR="00984F5B" w:rsidRPr="001936ED">
              <w:rPr>
                <w:rFonts w:eastAsia="Times New Roman"/>
                <w:sz w:val="16"/>
                <w:szCs w:val="16"/>
                <w:lang w:eastAsia="en-US" w:bidi="ar-SA"/>
              </w:rPr>
              <w:t>)</w:t>
            </w:r>
          </w:p>
        </w:tc>
        <w:tc>
          <w:tcPr>
            <w:tcW w:w="2327" w:type="dxa"/>
            <w:tcBorders>
              <w:top w:val="single" w:sz="12" w:space="0" w:color="auto"/>
              <w:bottom w:val="dotted" w:sz="4" w:space="0" w:color="auto"/>
            </w:tcBorders>
            <w:shd w:val="clear" w:color="auto" w:fill="auto"/>
            <w:noWrap/>
            <w:vAlign w:val="center"/>
            <w:hideMark/>
          </w:tcPr>
          <w:p w:rsidR="00984F5B" w:rsidRPr="001936ED" w:rsidRDefault="007B7CE5" w:rsidP="007B7CE5">
            <w:pPr>
              <w:bidi w:val="0"/>
              <w:jc w:val="right"/>
              <w:rPr>
                <w:rFonts w:eastAsia="Times New Roman"/>
                <w:sz w:val="16"/>
                <w:szCs w:val="16"/>
                <w:lang w:eastAsia="en-US" w:bidi="ar-SA"/>
              </w:rPr>
            </w:pPr>
            <w:r w:rsidRPr="001936ED">
              <w:rPr>
                <w:rFonts w:eastAsia="Times New Roman"/>
                <w:sz w:val="16"/>
                <w:szCs w:val="16"/>
                <w:lang w:eastAsia="en-US" w:bidi="ar-SA"/>
              </w:rPr>
              <w:t xml:space="preserve">November </w:t>
            </w:r>
            <w:r w:rsidR="00984F5B" w:rsidRPr="001936ED">
              <w:rPr>
                <w:rFonts w:eastAsia="Times New Roman"/>
                <w:sz w:val="16"/>
                <w:szCs w:val="16"/>
                <w:lang w:eastAsia="en-US" w:bidi="ar-SA"/>
              </w:rPr>
              <w:t>(1</w:t>
            </w:r>
            <w:r w:rsidRPr="001936ED">
              <w:rPr>
                <w:rFonts w:eastAsia="Times New Roman"/>
                <w:sz w:val="16"/>
                <w:szCs w:val="16"/>
                <w:lang w:eastAsia="en-US" w:bidi="ar-SA"/>
              </w:rPr>
              <w:t>9</w:t>
            </w:r>
            <w:r w:rsidR="00984F5B" w:rsidRPr="001936ED">
              <w:rPr>
                <w:rFonts w:eastAsia="Times New Roman"/>
                <w:sz w:val="16"/>
                <w:szCs w:val="16"/>
                <w:lang w:eastAsia="en-US" w:bidi="ar-SA"/>
              </w:rPr>
              <w:t>.</w:t>
            </w:r>
            <w:r w:rsidRPr="001936ED">
              <w:rPr>
                <w:rFonts w:eastAsia="Times New Roman"/>
                <w:sz w:val="16"/>
                <w:szCs w:val="16"/>
                <w:lang w:eastAsia="en-US" w:bidi="ar-SA"/>
              </w:rPr>
              <w:t>5</w:t>
            </w:r>
            <w:r w:rsidR="00984F5B" w:rsidRPr="001936ED">
              <w:rPr>
                <w:rFonts w:eastAsia="Times New Roman"/>
                <w:sz w:val="16"/>
                <w:szCs w:val="16"/>
                <w:lang w:eastAsia="en-US" w:bidi="ar-SA"/>
              </w:rPr>
              <w:t>)</w:t>
            </w:r>
          </w:p>
        </w:tc>
      </w:tr>
      <w:tr w:rsidR="00A07963" w:rsidRPr="001936ED" w:rsidTr="00CE22CF">
        <w:trPr>
          <w:trHeight w:val="255"/>
          <w:jc w:val="center"/>
        </w:trPr>
        <w:tc>
          <w:tcPr>
            <w:tcW w:w="2209" w:type="dxa"/>
            <w:tcBorders>
              <w:top w:val="dotted" w:sz="4" w:space="0" w:color="auto"/>
              <w:bottom w:val="single" w:sz="12" w:space="0" w:color="auto"/>
            </w:tcBorders>
            <w:shd w:val="clear" w:color="auto" w:fill="auto"/>
            <w:vAlign w:val="center"/>
            <w:hideMark/>
          </w:tcPr>
          <w:p w:rsidR="00A07963" w:rsidRPr="001936ED" w:rsidRDefault="00A07963" w:rsidP="000B28FF">
            <w:pPr>
              <w:bidi w:val="0"/>
              <w:rPr>
                <w:rFonts w:eastAsia="Times New Roman"/>
                <w:sz w:val="16"/>
                <w:szCs w:val="16"/>
                <w:lang w:eastAsia="en-US" w:bidi="ar-SA"/>
              </w:rPr>
            </w:pPr>
            <w:r w:rsidRPr="001936ED">
              <w:rPr>
                <w:rFonts w:eastAsia="Times New Roman"/>
                <w:sz w:val="16"/>
                <w:szCs w:val="16"/>
                <w:lang w:eastAsia="en-US" w:bidi="ar-SA"/>
              </w:rPr>
              <w:t>Hydraulic</w:t>
            </w:r>
          </w:p>
        </w:tc>
        <w:tc>
          <w:tcPr>
            <w:tcW w:w="1521" w:type="dxa"/>
            <w:tcBorders>
              <w:top w:val="dotted" w:sz="4" w:space="0" w:color="auto"/>
              <w:bottom w:val="single" w:sz="12" w:space="0" w:color="auto"/>
            </w:tcBorders>
            <w:shd w:val="clear" w:color="auto" w:fill="auto"/>
            <w:noWrap/>
            <w:vAlign w:val="center"/>
            <w:hideMark/>
          </w:tcPr>
          <w:p w:rsidR="00A07963" w:rsidRPr="001936ED" w:rsidRDefault="00D54CCE" w:rsidP="000B28FF">
            <w:pPr>
              <w:bidi w:val="0"/>
              <w:jc w:val="right"/>
              <w:rPr>
                <w:rFonts w:eastAsia="Times New Roman"/>
                <w:sz w:val="16"/>
                <w:szCs w:val="16"/>
                <w:lang w:eastAsia="en-US" w:bidi="ar-SA"/>
              </w:rPr>
            </w:pPr>
            <w:r w:rsidRPr="001936ED">
              <w:rPr>
                <w:rFonts w:eastAsia="Times New Roman"/>
                <w:sz w:val="16"/>
                <w:szCs w:val="16"/>
                <w:lang w:eastAsia="en-US" w:bidi="ar-SA"/>
              </w:rPr>
              <w:t>766</w:t>
            </w:r>
          </w:p>
        </w:tc>
        <w:tc>
          <w:tcPr>
            <w:tcW w:w="1160" w:type="dxa"/>
            <w:tcBorders>
              <w:top w:val="dotted" w:sz="4" w:space="0" w:color="auto"/>
              <w:bottom w:val="single" w:sz="12" w:space="0" w:color="auto"/>
            </w:tcBorders>
            <w:shd w:val="clear" w:color="auto" w:fill="auto"/>
            <w:noWrap/>
            <w:vAlign w:val="center"/>
            <w:hideMark/>
          </w:tcPr>
          <w:p w:rsidR="00A07963" w:rsidRPr="001936ED" w:rsidRDefault="00D54CCE" w:rsidP="000B28FF">
            <w:pPr>
              <w:bidi w:val="0"/>
              <w:jc w:val="right"/>
              <w:rPr>
                <w:rFonts w:eastAsia="Times New Roman"/>
                <w:sz w:val="16"/>
                <w:szCs w:val="16"/>
                <w:lang w:eastAsia="en-US" w:bidi="ar-SA"/>
              </w:rPr>
            </w:pPr>
            <w:r w:rsidRPr="001936ED">
              <w:rPr>
                <w:rFonts w:eastAsia="Times New Roman"/>
                <w:sz w:val="16"/>
                <w:szCs w:val="16"/>
                <w:lang w:eastAsia="en-US" w:bidi="ar-SA"/>
              </w:rPr>
              <w:t>49.2</w:t>
            </w:r>
          </w:p>
        </w:tc>
        <w:tc>
          <w:tcPr>
            <w:tcW w:w="2511" w:type="dxa"/>
            <w:tcBorders>
              <w:top w:val="dotted" w:sz="4" w:space="0" w:color="auto"/>
              <w:bottom w:val="single" w:sz="12" w:space="0" w:color="auto"/>
            </w:tcBorders>
            <w:shd w:val="clear" w:color="auto" w:fill="auto"/>
            <w:noWrap/>
            <w:vAlign w:val="center"/>
            <w:hideMark/>
          </w:tcPr>
          <w:p w:rsidR="00A07963" w:rsidRPr="001936ED" w:rsidRDefault="007B7CE5" w:rsidP="000B28FF">
            <w:pPr>
              <w:bidi w:val="0"/>
              <w:jc w:val="right"/>
              <w:rPr>
                <w:rFonts w:eastAsia="Times New Roman"/>
                <w:sz w:val="16"/>
                <w:szCs w:val="16"/>
                <w:lang w:eastAsia="en-US" w:bidi="ar-SA"/>
              </w:rPr>
            </w:pPr>
            <w:r w:rsidRPr="001936ED">
              <w:rPr>
                <w:rFonts w:eastAsia="Times New Roman"/>
                <w:sz w:val="16"/>
                <w:szCs w:val="16"/>
                <w:lang w:eastAsia="en-US" w:bidi="ar-SA"/>
              </w:rPr>
              <w:t>March (111</w:t>
            </w:r>
            <w:r w:rsidR="00B9008F" w:rsidRPr="001936ED">
              <w:rPr>
                <w:rFonts w:eastAsia="Times New Roman"/>
                <w:sz w:val="16"/>
                <w:szCs w:val="16"/>
                <w:lang w:eastAsia="en-US" w:bidi="ar-SA"/>
              </w:rPr>
              <w:t>)</w:t>
            </w:r>
          </w:p>
        </w:tc>
        <w:tc>
          <w:tcPr>
            <w:tcW w:w="2327" w:type="dxa"/>
            <w:tcBorders>
              <w:top w:val="dotted" w:sz="4" w:space="0" w:color="auto"/>
              <w:bottom w:val="single" w:sz="12" w:space="0" w:color="auto"/>
            </w:tcBorders>
            <w:shd w:val="clear" w:color="auto" w:fill="auto"/>
            <w:noWrap/>
            <w:vAlign w:val="center"/>
            <w:hideMark/>
          </w:tcPr>
          <w:p w:rsidR="00A07963" w:rsidRPr="001936ED" w:rsidRDefault="007B7CE5" w:rsidP="007B7CE5">
            <w:pPr>
              <w:bidi w:val="0"/>
              <w:jc w:val="right"/>
              <w:rPr>
                <w:rFonts w:eastAsia="Times New Roman"/>
                <w:sz w:val="16"/>
                <w:szCs w:val="16"/>
                <w:lang w:eastAsia="en-US" w:bidi="ar-SA"/>
              </w:rPr>
            </w:pPr>
            <w:r w:rsidRPr="001936ED">
              <w:rPr>
                <w:rFonts w:eastAsia="Times New Roman"/>
                <w:sz w:val="16"/>
                <w:szCs w:val="16"/>
                <w:lang w:eastAsia="en-US" w:bidi="ar-SA"/>
              </w:rPr>
              <w:t>March</w:t>
            </w:r>
            <w:r w:rsidR="00B9008F" w:rsidRPr="001936ED">
              <w:rPr>
                <w:rFonts w:eastAsia="Times New Roman"/>
                <w:sz w:val="16"/>
                <w:szCs w:val="16"/>
                <w:lang w:eastAsia="en-US" w:bidi="ar-SA"/>
              </w:rPr>
              <w:t xml:space="preserve"> (1</w:t>
            </w:r>
            <w:r w:rsidRPr="001936ED">
              <w:rPr>
                <w:rFonts w:eastAsia="Times New Roman"/>
                <w:sz w:val="16"/>
                <w:szCs w:val="16"/>
                <w:lang w:eastAsia="en-US" w:bidi="ar-SA"/>
              </w:rPr>
              <w:t>4</w:t>
            </w:r>
            <w:r w:rsidR="00B9008F" w:rsidRPr="001936ED">
              <w:rPr>
                <w:rFonts w:eastAsia="Times New Roman"/>
                <w:sz w:val="16"/>
                <w:szCs w:val="16"/>
                <w:lang w:eastAsia="en-US" w:bidi="ar-SA"/>
              </w:rPr>
              <w:t>.</w:t>
            </w:r>
            <w:r w:rsidRPr="001936ED">
              <w:rPr>
                <w:rFonts w:eastAsia="Times New Roman"/>
                <w:sz w:val="16"/>
                <w:szCs w:val="16"/>
                <w:lang w:eastAsia="en-US" w:bidi="ar-SA"/>
              </w:rPr>
              <w:t>4</w:t>
            </w:r>
            <w:r w:rsidR="00B9008F" w:rsidRPr="001936ED">
              <w:rPr>
                <w:rFonts w:eastAsia="Times New Roman"/>
                <w:sz w:val="16"/>
                <w:szCs w:val="16"/>
                <w:lang w:eastAsia="en-US" w:bidi="ar-SA"/>
              </w:rPr>
              <w:t>)</w:t>
            </w:r>
          </w:p>
        </w:tc>
      </w:tr>
      <w:tr w:rsidR="00B6221D" w:rsidRPr="001936ED" w:rsidTr="00CE22CF">
        <w:trPr>
          <w:trHeight w:val="255"/>
          <w:jc w:val="center"/>
        </w:trPr>
        <w:tc>
          <w:tcPr>
            <w:tcW w:w="2209" w:type="dxa"/>
            <w:tcBorders>
              <w:top w:val="single" w:sz="12" w:space="0" w:color="auto"/>
              <w:bottom w:val="single" w:sz="12" w:space="0" w:color="auto"/>
            </w:tcBorders>
            <w:shd w:val="clear" w:color="auto" w:fill="auto"/>
            <w:vAlign w:val="center"/>
            <w:hideMark/>
          </w:tcPr>
          <w:p w:rsidR="00B6221D" w:rsidRPr="001936ED" w:rsidRDefault="00B6221D" w:rsidP="000B28FF">
            <w:pPr>
              <w:bidi w:val="0"/>
              <w:rPr>
                <w:rFonts w:eastAsia="Times New Roman"/>
                <w:b/>
                <w:bCs/>
                <w:sz w:val="16"/>
                <w:szCs w:val="16"/>
                <w:lang w:eastAsia="en-US" w:bidi="ar-SA"/>
              </w:rPr>
            </w:pPr>
            <w:r w:rsidRPr="001936ED">
              <w:rPr>
                <w:rFonts w:eastAsia="Times New Roman"/>
                <w:b/>
                <w:bCs/>
                <w:sz w:val="16"/>
                <w:szCs w:val="16"/>
                <w:lang w:eastAsia="en-US" w:bidi="ar-SA"/>
              </w:rPr>
              <w:t>Network consumption</w:t>
            </w:r>
          </w:p>
        </w:tc>
        <w:tc>
          <w:tcPr>
            <w:tcW w:w="1521" w:type="dxa"/>
            <w:tcBorders>
              <w:top w:val="single" w:sz="12" w:space="0" w:color="auto"/>
              <w:bottom w:val="single" w:sz="12" w:space="0" w:color="auto"/>
            </w:tcBorders>
            <w:shd w:val="clear" w:color="auto" w:fill="auto"/>
            <w:noWrap/>
            <w:vAlign w:val="center"/>
            <w:hideMark/>
          </w:tcPr>
          <w:p w:rsidR="00B6221D" w:rsidRPr="001936ED" w:rsidRDefault="00A300CD" w:rsidP="00066467">
            <w:pPr>
              <w:bidi w:val="0"/>
              <w:jc w:val="right"/>
              <w:rPr>
                <w:rFonts w:eastAsia="Times New Roman"/>
                <w:b/>
                <w:bCs/>
                <w:sz w:val="16"/>
                <w:szCs w:val="16"/>
                <w:lang w:eastAsia="en-US" w:bidi="ar-SA"/>
              </w:rPr>
            </w:pPr>
            <w:r w:rsidRPr="001936ED">
              <w:rPr>
                <w:rFonts w:eastAsia="Times New Roman"/>
                <w:b/>
                <w:bCs/>
                <w:sz w:val="16"/>
                <w:szCs w:val="16"/>
                <w:lang w:eastAsia="en-US" w:bidi="ar-SA"/>
              </w:rPr>
              <w:t>1</w:t>
            </w:r>
            <w:r w:rsidR="00030726" w:rsidRPr="001936ED">
              <w:rPr>
                <w:rFonts w:eastAsia="Times New Roman"/>
                <w:b/>
                <w:bCs/>
                <w:sz w:val="16"/>
                <w:szCs w:val="16"/>
                <w:lang w:eastAsia="en-US" w:bidi="ar-SA"/>
              </w:rPr>
              <w:t>2</w:t>
            </w:r>
            <w:r w:rsidRPr="001936ED">
              <w:rPr>
                <w:rFonts w:eastAsia="Times New Roman"/>
                <w:b/>
                <w:bCs/>
                <w:sz w:val="16"/>
                <w:szCs w:val="16"/>
                <w:lang w:eastAsia="en-US" w:bidi="ar-SA"/>
              </w:rPr>
              <w:t>,</w:t>
            </w:r>
            <w:r w:rsidR="00066467" w:rsidRPr="001936ED">
              <w:rPr>
                <w:rFonts w:eastAsia="Times New Roman"/>
                <w:b/>
                <w:bCs/>
                <w:sz w:val="16"/>
                <w:szCs w:val="16"/>
                <w:lang w:eastAsia="en-US" w:bidi="ar-SA"/>
              </w:rPr>
              <w:t>46</w:t>
            </w:r>
            <w:r w:rsidR="00030726" w:rsidRPr="001936ED">
              <w:rPr>
                <w:rFonts w:eastAsia="Times New Roman"/>
                <w:b/>
                <w:bCs/>
                <w:sz w:val="16"/>
                <w:szCs w:val="16"/>
                <w:lang w:eastAsia="en-US" w:bidi="ar-SA"/>
              </w:rPr>
              <w:t>7</w:t>
            </w:r>
          </w:p>
        </w:tc>
        <w:tc>
          <w:tcPr>
            <w:tcW w:w="1160" w:type="dxa"/>
            <w:tcBorders>
              <w:top w:val="single" w:sz="12" w:space="0" w:color="auto"/>
              <w:bottom w:val="single" w:sz="12" w:space="0" w:color="auto"/>
            </w:tcBorders>
            <w:shd w:val="clear" w:color="auto" w:fill="auto"/>
            <w:noWrap/>
            <w:vAlign w:val="center"/>
            <w:hideMark/>
          </w:tcPr>
          <w:p w:rsidR="00B6221D" w:rsidRPr="001936ED" w:rsidRDefault="00B6221D"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100.0</w:t>
            </w:r>
          </w:p>
        </w:tc>
        <w:tc>
          <w:tcPr>
            <w:tcW w:w="2511" w:type="dxa"/>
            <w:tcBorders>
              <w:top w:val="single" w:sz="12" w:space="0" w:color="auto"/>
              <w:bottom w:val="single" w:sz="12" w:space="0" w:color="auto"/>
            </w:tcBorders>
            <w:shd w:val="clear" w:color="auto" w:fill="auto"/>
            <w:noWrap/>
            <w:vAlign w:val="center"/>
            <w:hideMark/>
          </w:tcPr>
          <w:p w:rsidR="00B6221D" w:rsidRPr="001936ED" w:rsidRDefault="00815331" w:rsidP="00066467">
            <w:pPr>
              <w:bidi w:val="0"/>
              <w:jc w:val="right"/>
              <w:rPr>
                <w:rFonts w:eastAsia="Times New Roman"/>
                <w:b/>
                <w:bCs/>
                <w:sz w:val="16"/>
                <w:szCs w:val="16"/>
                <w:lang w:eastAsia="en-US" w:bidi="ar-SA"/>
              </w:rPr>
            </w:pPr>
            <w:r w:rsidRPr="001936ED">
              <w:rPr>
                <w:rFonts w:eastAsia="Times New Roman"/>
                <w:b/>
                <w:bCs/>
                <w:sz w:val="16"/>
                <w:szCs w:val="16"/>
                <w:lang w:eastAsia="en-US" w:bidi="ar-SA"/>
              </w:rPr>
              <w:t>July</w:t>
            </w:r>
            <w:r w:rsidR="00B6221D" w:rsidRPr="001936ED">
              <w:rPr>
                <w:rFonts w:eastAsia="Times New Roman"/>
                <w:b/>
                <w:bCs/>
                <w:sz w:val="16"/>
                <w:szCs w:val="16"/>
                <w:lang w:eastAsia="en-US" w:bidi="ar-SA"/>
              </w:rPr>
              <w:t xml:space="preserve"> (1,</w:t>
            </w:r>
            <w:r w:rsidR="00A300CD" w:rsidRPr="001936ED">
              <w:rPr>
                <w:rFonts w:eastAsia="Times New Roman"/>
                <w:b/>
                <w:bCs/>
                <w:sz w:val="16"/>
                <w:szCs w:val="16"/>
                <w:lang w:eastAsia="en-US" w:bidi="ar-SA"/>
              </w:rPr>
              <w:t>1</w:t>
            </w:r>
            <w:r w:rsidR="00066467" w:rsidRPr="001936ED">
              <w:rPr>
                <w:rFonts w:eastAsia="Times New Roman"/>
                <w:b/>
                <w:bCs/>
                <w:sz w:val="16"/>
                <w:szCs w:val="16"/>
                <w:lang w:eastAsia="en-US" w:bidi="ar-SA"/>
              </w:rPr>
              <w:t>77</w:t>
            </w:r>
            <w:r w:rsidR="00B6221D" w:rsidRPr="001936ED">
              <w:rPr>
                <w:rFonts w:eastAsia="Times New Roman"/>
                <w:b/>
                <w:bCs/>
                <w:sz w:val="16"/>
                <w:szCs w:val="16"/>
                <w:lang w:eastAsia="en-US" w:bidi="ar-SA"/>
              </w:rPr>
              <w:t>)</w:t>
            </w:r>
          </w:p>
        </w:tc>
        <w:tc>
          <w:tcPr>
            <w:tcW w:w="2327" w:type="dxa"/>
            <w:tcBorders>
              <w:top w:val="single" w:sz="12" w:space="0" w:color="auto"/>
              <w:bottom w:val="single" w:sz="12" w:space="0" w:color="auto"/>
            </w:tcBorders>
            <w:shd w:val="clear" w:color="auto" w:fill="auto"/>
            <w:noWrap/>
            <w:vAlign w:val="center"/>
            <w:hideMark/>
          </w:tcPr>
          <w:p w:rsidR="00B6221D" w:rsidRPr="001936ED" w:rsidRDefault="00815331" w:rsidP="00066467">
            <w:pPr>
              <w:bidi w:val="0"/>
              <w:jc w:val="right"/>
              <w:rPr>
                <w:rFonts w:eastAsia="Times New Roman"/>
                <w:b/>
                <w:bCs/>
                <w:sz w:val="16"/>
                <w:szCs w:val="16"/>
                <w:lang w:eastAsia="en-US" w:bidi="ar-SA"/>
              </w:rPr>
            </w:pPr>
            <w:r w:rsidRPr="001936ED">
              <w:rPr>
                <w:rFonts w:eastAsia="Times New Roman"/>
                <w:b/>
                <w:bCs/>
                <w:sz w:val="16"/>
                <w:szCs w:val="16"/>
                <w:lang w:eastAsia="en-US" w:bidi="ar-SA"/>
              </w:rPr>
              <w:t>July</w:t>
            </w:r>
            <w:r w:rsidR="00B6221D" w:rsidRPr="001936ED">
              <w:rPr>
                <w:rFonts w:eastAsia="Times New Roman"/>
                <w:b/>
                <w:bCs/>
                <w:sz w:val="16"/>
                <w:szCs w:val="16"/>
                <w:lang w:eastAsia="en-US" w:bidi="ar-SA"/>
              </w:rPr>
              <w:t xml:space="preserve"> ( 9.</w:t>
            </w:r>
            <w:r w:rsidR="00066467" w:rsidRPr="001936ED">
              <w:rPr>
                <w:rFonts w:eastAsia="Times New Roman"/>
                <w:b/>
                <w:bCs/>
                <w:sz w:val="16"/>
                <w:szCs w:val="16"/>
                <w:lang w:eastAsia="en-US" w:bidi="ar-SA"/>
              </w:rPr>
              <w:t>4</w:t>
            </w:r>
            <w:r w:rsidR="00B6221D" w:rsidRPr="001936ED">
              <w:rPr>
                <w:rFonts w:eastAsia="Times New Roman"/>
                <w:b/>
                <w:bCs/>
                <w:sz w:val="16"/>
                <w:szCs w:val="16"/>
                <w:lang w:eastAsia="en-US" w:bidi="ar-SA"/>
              </w:rPr>
              <w:t>)</w:t>
            </w:r>
          </w:p>
        </w:tc>
      </w:tr>
      <w:tr w:rsidR="00984F5B" w:rsidRPr="001936ED" w:rsidTr="00CE22CF">
        <w:trPr>
          <w:trHeight w:val="255"/>
          <w:jc w:val="center"/>
        </w:trPr>
        <w:tc>
          <w:tcPr>
            <w:tcW w:w="2209" w:type="dxa"/>
            <w:tcBorders>
              <w:top w:val="single" w:sz="12" w:space="0" w:color="auto"/>
              <w:bottom w:val="dotted" w:sz="4" w:space="0" w:color="auto"/>
            </w:tcBorders>
            <w:shd w:val="clear" w:color="auto" w:fill="auto"/>
            <w:vAlign w:val="center"/>
            <w:hideMark/>
          </w:tcPr>
          <w:p w:rsidR="00984F5B" w:rsidRPr="001936ED" w:rsidRDefault="00984F5B" w:rsidP="000B28FF">
            <w:pPr>
              <w:bidi w:val="0"/>
              <w:rPr>
                <w:rFonts w:eastAsia="Times New Roman"/>
                <w:sz w:val="16"/>
                <w:szCs w:val="16"/>
                <w:lang w:eastAsia="en-US" w:bidi="ar-SA"/>
              </w:rPr>
            </w:pPr>
            <w:r w:rsidRPr="001936ED">
              <w:rPr>
                <w:rFonts w:eastAsia="Times New Roman"/>
                <w:sz w:val="16"/>
                <w:szCs w:val="16"/>
                <w:lang w:eastAsia="en-US" w:bidi="ar-SA"/>
              </w:rPr>
              <w:t>Thermal</w:t>
            </w:r>
          </w:p>
        </w:tc>
        <w:tc>
          <w:tcPr>
            <w:tcW w:w="1521" w:type="dxa"/>
            <w:tcBorders>
              <w:top w:val="single" w:sz="12" w:space="0" w:color="auto"/>
              <w:bottom w:val="dotted" w:sz="4" w:space="0" w:color="auto"/>
            </w:tcBorders>
            <w:shd w:val="clear" w:color="auto" w:fill="auto"/>
            <w:noWrap/>
            <w:vAlign w:val="center"/>
            <w:hideMark/>
          </w:tcPr>
          <w:p w:rsidR="00984F5B" w:rsidRPr="001936ED" w:rsidRDefault="00984F5B" w:rsidP="00066467">
            <w:pPr>
              <w:bidi w:val="0"/>
              <w:jc w:val="right"/>
              <w:rPr>
                <w:rFonts w:eastAsia="Times New Roman"/>
                <w:sz w:val="16"/>
                <w:szCs w:val="16"/>
                <w:lang w:eastAsia="en-US" w:bidi="ar-SA"/>
              </w:rPr>
            </w:pPr>
            <w:r w:rsidRPr="001936ED">
              <w:rPr>
                <w:rFonts w:eastAsia="Times New Roman"/>
                <w:sz w:val="16"/>
                <w:szCs w:val="16"/>
                <w:lang w:eastAsia="en-US" w:bidi="ar-SA"/>
              </w:rPr>
              <w:t>11,</w:t>
            </w:r>
            <w:r w:rsidR="00066467" w:rsidRPr="001936ED">
              <w:rPr>
                <w:rFonts w:eastAsia="Times New Roman"/>
                <w:sz w:val="16"/>
                <w:szCs w:val="16"/>
                <w:lang w:eastAsia="en-US" w:bidi="ar-SA"/>
              </w:rPr>
              <w:t>618</w:t>
            </w:r>
          </w:p>
        </w:tc>
        <w:tc>
          <w:tcPr>
            <w:tcW w:w="1160" w:type="dxa"/>
            <w:tcBorders>
              <w:top w:val="single" w:sz="12" w:space="0" w:color="auto"/>
              <w:bottom w:val="dotted" w:sz="4" w:space="0" w:color="auto"/>
            </w:tcBorders>
            <w:shd w:val="clear" w:color="auto" w:fill="auto"/>
            <w:noWrap/>
            <w:vAlign w:val="center"/>
            <w:hideMark/>
          </w:tcPr>
          <w:p w:rsidR="00984F5B" w:rsidRPr="001936ED" w:rsidRDefault="00984F5B" w:rsidP="00066467">
            <w:pPr>
              <w:bidi w:val="0"/>
              <w:jc w:val="right"/>
              <w:rPr>
                <w:rFonts w:eastAsia="Times New Roman"/>
                <w:sz w:val="16"/>
                <w:szCs w:val="16"/>
                <w:lang w:eastAsia="en-US" w:bidi="ar-SA"/>
              </w:rPr>
            </w:pPr>
            <w:r w:rsidRPr="001936ED">
              <w:rPr>
                <w:rFonts w:eastAsia="Times New Roman"/>
                <w:sz w:val="16"/>
                <w:szCs w:val="16"/>
                <w:lang w:eastAsia="en-US" w:bidi="ar-SA"/>
              </w:rPr>
              <w:t>9</w:t>
            </w:r>
            <w:r w:rsidR="00066467" w:rsidRPr="001936ED">
              <w:rPr>
                <w:rFonts w:eastAsia="Times New Roman"/>
                <w:sz w:val="16"/>
                <w:szCs w:val="16"/>
                <w:lang w:eastAsia="en-US" w:bidi="ar-SA"/>
              </w:rPr>
              <w:t>3</w:t>
            </w:r>
            <w:r w:rsidRPr="001936ED">
              <w:rPr>
                <w:rFonts w:eastAsia="Times New Roman"/>
                <w:sz w:val="16"/>
                <w:szCs w:val="16"/>
                <w:lang w:eastAsia="en-US" w:bidi="ar-SA"/>
              </w:rPr>
              <w:t>.</w:t>
            </w:r>
            <w:r w:rsidR="00066467" w:rsidRPr="001936ED">
              <w:rPr>
                <w:rFonts w:eastAsia="Times New Roman"/>
                <w:sz w:val="16"/>
                <w:szCs w:val="16"/>
                <w:lang w:eastAsia="en-US" w:bidi="ar-SA"/>
              </w:rPr>
              <w:t>2</w:t>
            </w:r>
          </w:p>
        </w:tc>
        <w:tc>
          <w:tcPr>
            <w:tcW w:w="2511" w:type="dxa"/>
            <w:tcBorders>
              <w:top w:val="single" w:sz="12" w:space="0" w:color="auto"/>
              <w:bottom w:val="dotted" w:sz="4" w:space="0" w:color="auto"/>
            </w:tcBorders>
            <w:shd w:val="clear" w:color="auto" w:fill="auto"/>
            <w:noWrap/>
            <w:vAlign w:val="center"/>
            <w:hideMark/>
          </w:tcPr>
          <w:p w:rsidR="00984F5B" w:rsidRPr="001936ED" w:rsidRDefault="00066467" w:rsidP="00066467">
            <w:pPr>
              <w:bidi w:val="0"/>
              <w:jc w:val="right"/>
              <w:rPr>
                <w:rFonts w:eastAsia="Times New Roman"/>
                <w:sz w:val="16"/>
                <w:szCs w:val="16"/>
                <w:lang w:eastAsia="en-US" w:bidi="ar-SA"/>
              </w:rPr>
            </w:pPr>
            <w:r w:rsidRPr="001936ED">
              <w:rPr>
                <w:rFonts w:eastAsia="Times New Roman"/>
                <w:sz w:val="16"/>
                <w:szCs w:val="16"/>
                <w:lang w:eastAsia="en-US" w:bidi="ar-SA"/>
              </w:rPr>
              <w:t>July</w:t>
            </w:r>
            <w:r w:rsidR="00984F5B" w:rsidRPr="001936ED">
              <w:rPr>
                <w:rFonts w:eastAsia="Times New Roman"/>
                <w:sz w:val="16"/>
                <w:szCs w:val="16"/>
                <w:lang w:eastAsia="en-US" w:bidi="ar-SA"/>
              </w:rPr>
              <w:t xml:space="preserve"> (1,</w:t>
            </w:r>
            <w:r w:rsidRPr="001936ED">
              <w:rPr>
                <w:rFonts w:eastAsia="Times New Roman"/>
                <w:sz w:val="16"/>
                <w:szCs w:val="16"/>
                <w:lang w:eastAsia="en-US" w:bidi="ar-SA"/>
              </w:rPr>
              <w:t>134</w:t>
            </w:r>
            <w:r w:rsidR="00984F5B" w:rsidRPr="001936ED">
              <w:rPr>
                <w:rFonts w:eastAsia="Times New Roman"/>
                <w:sz w:val="16"/>
                <w:szCs w:val="16"/>
                <w:lang w:eastAsia="en-US" w:bidi="ar-SA"/>
              </w:rPr>
              <w:t>)</w:t>
            </w:r>
          </w:p>
        </w:tc>
        <w:tc>
          <w:tcPr>
            <w:tcW w:w="2327" w:type="dxa"/>
            <w:tcBorders>
              <w:top w:val="single" w:sz="12" w:space="0" w:color="auto"/>
              <w:bottom w:val="dotted" w:sz="4" w:space="0" w:color="auto"/>
            </w:tcBorders>
            <w:shd w:val="clear" w:color="auto" w:fill="auto"/>
            <w:noWrap/>
            <w:vAlign w:val="center"/>
            <w:hideMark/>
          </w:tcPr>
          <w:p w:rsidR="00984F5B" w:rsidRPr="001936ED" w:rsidRDefault="00984F5B" w:rsidP="00066467">
            <w:pPr>
              <w:bidi w:val="0"/>
              <w:jc w:val="right"/>
              <w:rPr>
                <w:rFonts w:eastAsia="Times New Roman"/>
                <w:sz w:val="16"/>
                <w:szCs w:val="16"/>
                <w:lang w:eastAsia="en-US" w:bidi="ar-SA"/>
              </w:rPr>
            </w:pPr>
            <w:r w:rsidRPr="001936ED">
              <w:rPr>
                <w:rFonts w:eastAsia="Times New Roman"/>
                <w:sz w:val="16"/>
                <w:szCs w:val="16"/>
                <w:lang w:eastAsia="en-US" w:bidi="ar-SA"/>
              </w:rPr>
              <w:t>July (9.</w:t>
            </w:r>
            <w:r w:rsidR="00066467" w:rsidRPr="001936ED">
              <w:rPr>
                <w:rFonts w:eastAsia="Times New Roman"/>
                <w:sz w:val="16"/>
                <w:szCs w:val="16"/>
                <w:lang w:eastAsia="en-US" w:bidi="ar-SA"/>
              </w:rPr>
              <w:t>8</w:t>
            </w:r>
            <w:r w:rsidRPr="001936ED">
              <w:rPr>
                <w:rFonts w:eastAsia="Times New Roman"/>
                <w:sz w:val="16"/>
                <w:szCs w:val="16"/>
                <w:lang w:eastAsia="en-US" w:bidi="ar-SA"/>
              </w:rPr>
              <w:t>)</w:t>
            </w:r>
          </w:p>
        </w:tc>
      </w:tr>
      <w:tr w:rsidR="00B6221D" w:rsidRPr="001936ED" w:rsidTr="00CE22CF">
        <w:trPr>
          <w:trHeight w:val="255"/>
          <w:jc w:val="center"/>
        </w:trPr>
        <w:tc>
          <w:tcPr>
            <w:tcW w:w="2209" w:type="dxa"/>
            <w:tcBorders>
              <w:top w:val="dotted" w:sz="4" w:space="0" w:color="auto"/>
              <w:bottom w:val="single" w:sz="12" w:space="0" w:color="auto"/>
            </w:tcBorders>
            <w:shd w:val="clear" w:color="auto" w:fill="auto"/>
            <w:vAlign w:val="center"/>
            <w:hideMark/>
          </w:tcPr>
          <w:p w:rsidR="00B6221D" w:rsidRPr="001936ED" w:rsidRDefault="00B6221D" w:rsidP="000B28FF">
            <w:pPr>
              <w:bidi w:val="0"/>
              <w:rPr>
                <w:rFonts w:eastAsia="Times New Roman"/>
                <w:sz w:val="16"/>
                <w:szCs w:val="16"/>
                <w:lang w:eastAsia="en-US" w:bidi="ar-SA"/>
              </w:rPr>
            </w:pPr>
            <w:r w:rsidRPr="001936ED">
              <w:rPr>
                <w:rFonts w:eastAsia="Times New Roman"/>
                <w:sz w:val="16"/>
                <w:szCs w:val="16"/>
                <w:lang w:eastAsia="en-US" w:bidi="ar-SA"/>
              </w:rPr>
              <w:t>Hydraulic</w:t>
            </w:r>
          </w:p>
        </w:tc>
        <w:tc>
          <w:tcPr>
            <w:tcW w:w="1521" w:type="dxa"/>
            <w:tcBorders>
              <w:top w:val="dotted" w:sz="4" w:space="0" w:color="auto"/>
              <w:bottom w:val="single" w:sz="12" w:space="0" w:color="auto"/>
            </w:tcBorders>
            <w:shd w:val="clear" w:color="auto" w:fill="auto"/>
            <w:noWrap/>
            <w:vAlign w:val="center"/>
            <w:hideMark/>
          </w:tcPr>
          <w:p w:rsidR="00B6221D" w:rsidRPr="001936ED" w:rsidRDefault="00066467" w:rsidP="000B28FF">
            <w:pPr>
              <w:bidi w:val="0"/>
              <w:jc w:val="right"/>
              <w:rPr>
                <w:rFonts w:eastAsia="Times New Roman"/>
                <w:sz w:val="16"/>
                <w:szCs w:val="16"/>
                <w:lang w:eastAsia="en-US" w:bidi="ar-SA"/>
              </w:rPr>
            </w:pPr>
            <w:r w:rsidRPr="001936ED">
              <w:rPr>
                <w:rFonts w:eastAsia="Times New Roman"/>
                <w:sz w:val="16"/>
                <w:szCs w:val="16"/>
                <w:lang w:eastAsia="en-US" w:bidi="ar-SA"/>
              </w:rPr>
              <w:t>849</w:t>
            </w:r>
          </w:p>
        </w:tc>
        <w:tc>
          <w:tcPr>
            <w:tcW w:w="1160" w:type="dxa"/>
            <w:tcBorders>
              <w:top w:val="dotted" w:sz="4" w:space="0" w:color="auto"/>
              <w:bottom w:val="single" w:sz="12" w:space="0" w:color="auto"/>
            </w:tcBorders>
            <w:shd w:val="clear" w:color="auto" w:fill="auto"/>
            <w:noWrap/>
            <w:vAlign w:val="center"/>
            <w:hideMark/>
          </w:tcPr>
          <w:p w:rsidR="00B6221D" w:rsidRPr="001936ED" w:rsidRDefault="00066467" w:rsidP="00066467">
            <w:pPr>
              <w:bidi w:val="0"/>
              <w:jc w:val="right"/>
              <w:rPr>
                <w:rFonts w:eastAsia="Times New Roman"/>
                <w:sz w:val="16"/>
                <w:szCs w:val="16"/>
                <w:lang w:eastAsia="en-US" w:bidi="ar-SA"/>
              </w:rPr>
            </w:pPr>
            <w:r w:rsidRPr="001936ED">
              <w:rPr>
                <w:rFonts w:eastAsia="Times New Roman"/>
                <w:sz w:val="16"/>
                <w:szCs w:val="16"/>
                <w:lang w:eastAsia="en-US" w:bidi="ar-SA"/>
              </w:rPr>
              <w:t>6</w:t>
            </w:r>
            <w:r w:rsidR="00815331" w:rsidRPr="001936ED">
              <w:rPr>
                <w:rFonts w:eastAsia="Times New Roman"/>
                <w:sz w:val="16"/>
                <w:szCs w:val="16"/>
                <w:lang w:eastAsia="en-US" w:bidi="ar-SA"/>
              </w:rPr>
              <w:t>.</w:t>
            </w:r>
            <w:r w:rsidRPr="001936ED">
              <w:rPr>
                <w:rFonts w:eastAsia="Times New Roman"/>
                <w:sz w:val="16"/>
                <w:szCs w:val="16"/>
                <w:lang w:eastAsia="en-US" w:bidi="ar-SA"/>
              </w:rPr>
              <w:t>8</w:t>
            </w:r>
          </w:p>
        </w:tc>
        <w:tc>
          <w:tcPr>
            <w:tcW w:w="2511" w:type="dxa"/>
            <w:tcBorders>
              <w:top w:val="dotted" w:sz="4" w:space="0" w:color="auto"/>
              <w:bottom w:val="single" w:sz="12" w:space="0" w:color="auto"/>
            </w:tcBorders>
            <w:shd w:val="clear" w:color="auto" w:fill="auto"/>
            <w:noWrap/>
            <w:vAlign w:val="center"/>
            <w:hideMark/>
          </w:tcPr>
          <w:p w:rsidR="00B6221D" w:rsidRPr="001936ED" w:rsidRDefault="00066467" w:rsidP="00066467">
            <w:pPr>
              <w:bidi w:val="0"/>
              <w:jc w:val="right"/>
              <w:rPr>
                <w:rFonts w:eastAsia="Times New Roman"/>
                <w:sz w:val="16"/>
                <w:szCs w:val="16"/>
                <w:lang w:eastAsia="en-US" w:bidi="ar-SA"/>
              </w:rPr>
            </w:pPr>
            <w:r w:rsidRPr="001936ED">
              <w:rPr>
                <w:rFonts w:eastAsia="Times New Roman"/>
                <w:sz w:val="16"/>
                <w:szCs w:val="16"/>
                <w:lang w:eastAsia="en-US" w:bidi="ar-SA"/>
              </w:rPr>
              <w:t>March</w:t>
            </w:r>
            <w:r w:rsidR="00B6221D" w:rsidRPr="001936ED">
              <w:rPr>
                <w:rFonts w:eastAsia="Times New Roman"/>
                <w:sz w:val="16"/>
                <w:szCs w:val="16"/>
                <w:lang w:eastAsia="en-US" w:bidi="ar-SA"/>
              </w:rPr>
              <w:t xml:space="preserve"> (</w:t>
            </w:r>
            <w:r w:rsidRPr="001936ED">
              <w:rPr>
                <w:rFonts w:eastAsia="Times New Roman"/>
                <w:sz w:val="16"/>
                <w:szCs w:val="16"/>
                <w:lang w:eastAsia="en-US" w:bidi="ar-SA"/>
              </w:rPr>
              <w:t>125</w:t>
            </w:r>
            <w:r w:rsidR="00B6221D" w:rsidRPr="001936ED">
              <w:rPr>
                <w:rFonts w:eastAsia="Times New Roman"/>
                <w:sz w:val="16"/>
                <w:szCs w:val="16"/>
                <w:lang w:eastAsia="en-US" w:bidi="ar-SA"/>
              </w:rPr>
              <w:t>)</w:t>
            </w:r>
          </w:p>
        </w:tc>
        <w:tc>
          <w:tcPr>
            <w:tcW w:w="2327" w:type="dxa"/>
            <w:tcBorders>
              <w:top w:val="dotted" w:sz="4" w:space="0" w:color="auto"/>
              <w:bottom w:val="single" w:sz="12" w:space="0" w:color="auto"/>
            </w:tcBorders>
            <w:shd w:val="clear" w:color="auto" w:fill="auto"/>
            <w:noWrap/>
            <w:vAlign w:val="center"/>
            <w:hideMark/>
          </w:tcPr>
          <w:p w:rsidR="00B6221D" w:rsidRPr="001936ED" w:rsidRDefault="00B6221D" w:rsidP="00066467">
            <w:pPr>
              <w:bidi w:val="0"/>
              <w:jc w:val="right"/>
              <w:rPr>
                <w:rFonts w:eastAsia="Times New Roman"/>
                <w:sz w:val="16"/>
                <w:szCs w:val="16"/>
                <w:lang w:eastAsia="en-US" w:bidi="ar-SA"/>
              </w:rPr>
            </w:pPr>
            <w:r w:rsidRPr="001936ED">
              <w:rPr>
                <w:rFonts w:eastAsia="Times New Roman"/>
                <w:sz w:val="16"/>
                <w:szCs w:val="16"/>
                <w:lang w:eastAsia="en-US" w:bidi="ar-SA"/>
              </w:rPr>
              <w:t>March (</w:t>
            </w:r>
            <w:r w:rsidR="00815331" w:rsidRPr="001936ED">
              <w:rPr>
                <w:rFonts w:eastAsia="Times New Roman"/>
                <w:sz w:val="16"/>
                <w:szCs w:val="16"/>
                <w:lang w:eastAsia="en-US" w:bidi="ar-SA"/>
              </w:rPr>
              <w:t>1</w:t>
            </w:r>
            <w:r w:rsidR="00066467" w:rsidRPr="001936ED">
              <w:rPr>
                <w:rFonts w:eastAsia="Times New Roman"/>
                <w:sz w:val="16"/>
                <w:szCs w:val="16"/>
                <w:lang w:eastAsia="en-US" w:bidi="ar-SA"/>
              </w:rPr>
              <w:t>4</w:t>
            </w:r>
            <w:r w:rsidR="00815331" w:rsidRPr="001936ED">
              <w:rPr>
                <w:rFonts w:eastAsia="Times New Roman"/>
                <w:sz w:val="16"/>
                <w:szCs w:val="16"/>
                <w:lang w:eastAsia="en-US" w:bidi="ar-SA"/>
              </w:rPr>
              <w:t>.</w:t>
            </w:r>
            <w:r w:rsidR="00066467" w:rsidRPr="001936ED">
              <w:rPr>
                <w:rFonts w:eastAsia="Times New Roman"/>
                <w:sz w:val="16"/>
                <w:szCs w:val="16"/>
                <w:lang w:eastAsia="en-US" w:bidi="ar-SA"/>
              </w:rPr>
              <w:t>7</w:t>
            </w:r>
            <w:r w:rsidRPr="001936ED">
              <w:rPr>
                <w:rFonts w:eastAsia="Times New Roman"/>
                <w:sz w:val="16"/>
                <w:szCs w:val="16"/>
                <w:lang w:eastAsia="en-US" w:bidi="ar-SA"/>
              </w:rPr>
              <w:t>)</w:t>
            </w:r>
          </w:p>
        </w:tc>
      </w:tr>
    </w:tbl>
    <w:p w:rsidR="00C033A7" w:rsidRPr="00FF61F1" w:rsidRDefault="00C033A7" w:rsidP="00066467">
      <w:pPr>
        <w:bidi w:val="0"/>
        <w:jc w:val="center"/>
        <w:rPr>
          <w:i/>
          <w:iCs/>
          <w:sz w:val="18"/>
          <w:szCs w:val="18"/>
        </w:rPr>
      </w:pPr>
      <w:r w:rsidRPr="00FF61F1">
        <w:rPr>
          <w:i/>
          <w:iCs/>
          <w:sz w:val="18"/>
          <w:szCs w:val="18"/>
        </w:rPr>
        <w:t xml:space="preserve">Table made by CAS based on </w:t>
      </w:r>
      <w:r w:rsidR="00B6221D" w:rsidRPr="00FF61F1">
        <w:rPr>
          <w:rFonts w:eastAsia="Times New Roman"/>
          <w:i/>
          <w:iCs/>
          <w:noProof/>
          <w:sz w:val="20"/>
          <w:szCs w:val="20"/>
        </w:rPr>
        <w:t xml:space="preserve">Electricité du Liban </w:t>
      </w:r>
      <w:r w:rsidRPr="00FF61F1">
        <w:rPr>
          <w:rFonts w:eastAsia="Times New Roman"/>
          <w:i/>
          <w:iCs/>
          <w:noProof/>
          <w:sz w:val="20"/>
          <w:szCs w:val="20"/>
        </w:rPr>
        <w:t>data (20</w:t>
      </w:r>
      <w:r w:rsidR="00066467">
        <w:rPr>
          <w:rFonts w:eastAsia="Times New Roman"/>
          <w:i/>
          <w:iCs/>
          <w:noProof/>
          <w:sz w:val="20"/>
          <w:szCs w:val="20"/>
        </w:rPr>
        <w:t>10</w:t>
      </w:r>
      <w:r w:rsidRPr="00FF61F1">
        <w:rPr>
          <w:rFonts w:eastAsia="Times New Roman"/>
          <w:i/>
          <w:iCs/>
          <w:noProof/>
          <w:sz w:val="20"/>
          <w:szCs w:val="20"/>
        </w:rPr>
        <w:t>)</w:t>
      </w:r>
    </w:p>
    <w:p w:rsidR="00E37EB8" w:rsidRPr="00FF61F1" w:rsidRDefault="00E37EB8" w:rsidP="000B28FF">
      <w:pPr>
        <w:bidi w:val="0"/>
        <w:rPr>
          <w:noProof/>
        </w:rPr>
      </w:pPr>
    </w:p>
    <w:p w:rsidR="00CE22CF" w:rsidRPr="00CE22CF" w:rsidRDefault="00CE22CF" w:rsidP="0073143C">
      <w:pPr>
        <w:bidi w:val="0"/>
        <w:contextualSpacing/>
        <w:rPr>
          <w:rFonts w:asciiTheme="majorBidi" w:hAnsiTheme="majorBidi" w:cstheme="majorBidi"/>
          <w:noProof/>
          <w:sz w:val="22"/>
          <w:szCs w:val="22"/>
        </w:rPr>
      </w:pPr>
      <w:r w:rsidRPr="00CE22CF">
        <w:rPr>
          <w:rFonts w:asciiTheme="majorBidi" w:hAnsiTheme="majorBidi" w:cstheme="majorBidi"/>
          <w:noProof/>
          <w:sz w:val="22"/>
          <w:szCs w:val="22"/>
        </w:rPr>
        <w:t>Total h</w:t>
      </w:r>
      <w:r w:rsidR="00B6221D" w:rsidRPr="00CE22CF">
        <w:rPr>
          <w:rFonts w:asciiTheme="majorBidi" w:hAnsiTheme="majorBidi" w:cstheme="majorBidi"/>
          <w:noProof/>
          <w:sz w:val="22"/>
          <w:szCs w:val="22"/>
        </w:rPr>
        <w:t>ydraulic energy</w:t>
      </w:r>
      <w:r w:rsidRPr="00CE22CF">
        <w:rPr>
          <w:rFonts w:asciiTheme="majorBidi" w:hAnsiTheme="majorBidi" w:cstheme="majorBidi"/>
          <w:noProof/>
          <w:sz w:val="22"/>
          <w:szCs w:val="22"/>
        </w:rPr>
        <w:t xml:space="preserve"> is </w:t>
      </w:r>
      <w:r w:rsidR="0073143C">
        <w:rPr>
          <w:rFonts w:asciiTheme="majorBidi" w:hAnsiTheme="majorBidi" w:cstheme="majorBidi"/>
          <w:noProof/>
          <w:sz w:val="22"/>
          <w:szCs w:val="22"/>
        </w:rPr>
        <w:t>107</w:t>
      </w:r>
      <w:r w:rsidR="00B6221D" w:rsidRPr="00CE22CF">
        <w:rPr>
          <w:rFonts w:asciiTheme="majorBidi" w:hAnsiTheme="majorBidi" w:cstheme="majorBidi"/>
          <w:noProof/>
          <w:sz w:val="22"/>
          <w:szCs w:val="22"/>
        </w:rPr>
        <w:t xml:space="preserve"> million KWh</w:t>
      </w:r>
      <w:r w:rsidRPr="00CE22CF">
        <w:rPr>
          <w:rFonts w:asciiTheme="majorBidi" w:hAnsiTheme="majorBidi" w:cstheme="majorBidi"/>
          <w:noProof/>
          <w:sz w:val="22"/>
          <w:szCs w:val="22"/>
        </w:rPr>
        <w:t>:</w:t>
      </w:r>
    </w:p>
    <w:p w:rsidR="00CE22CF" w:rsidRPr="00CE22CF" w:rsidRDefault="00B6221D" w:rsidP="0073143C">
      <w:pPr>
        <w:pStyle w:val="ListParagraph"/>
        <w:numPr>
          <w:ilvl w:val="0"/>
          <w:numId w:val="4"/>
        </w:numPr>
        <w:spacing w:line="240" w:lineRule="auto"/>
        <w:rPr>
          <w:rFonts w:asciiTheme="majorBidi" w:hAnsiTheme="majorBidi" w:cstheme="majorBidi"/>
          <w:noProof/>
        </w:rPr>
      </w:pPr>
      <w:r w:rsidRPr="00CE22CF">
        <w:rPr>
          <w:rFonts w:asciiTheme="majorBidi" w:hAnsiTheme="majorBidi" w:cstheme="majorBidi"/>
          <w:noProof/>
        </w:rPr>
        <w:t xml:space="preserve">Qadisha station </w:t>
      </w:r>
      <w:r w:rsidR="00CE22CF" w:rsidRPr="00CE22CF">
        <w:rPr>
          <w:rFonts w:asciiTheme="majorBidi" w:hAnsiTheme="majorBidi" w:cstheme="majorBidi"/>
          <w:noProof/>
        </w:rPr>
        <w:t xml:space="preserve">production: </w:t>
      </w:r>
      <w:r w:rsidR="0073143C">
        <w:rPr>
          <w:rFonts w:asciiTheme="majorBidi" w:hAnsiTheme="majorBidi" w:cstheme="majorBidi"/>
          <w:noProof/>
        </w:rPr>
        <w:t>57.2</w:t>
      </w:r>
      <w:r w:rsidRPr="00CE22CF">
        <w:rPr>
          <w:rFonts w:asciiTheme="majorBidi" w:hAnsiTheme="majorBidi" w:cstheme="majorBidi"/>
          <w:noProof/>
        </w:rPr>
        <w:t>%</w:t>
      </w:r>
      <w:r w:rsidR="00DE5D02">
        <w:rPr>
          <w:rFonts w:asciiTheme="majorBidi" w:hAnsiTheme="majorBidi" w:cstheme="majorBidi"/>
          <w:noProof/>
        </w:rPr>
        <w:t>.</w:t>
      </w:r>
    </w:p>
    <w:p w:rsidR="00E37EB8" w:rsidRPr="00CE22CF" w:rsidRDefault="00B6221D" w:rsidP="0073143C">
      <w:pPr>
        <w:pStyle w:val="ListParagraph"/>
        <w:numPr>
          <w:ilvl w:val="0"/>
          <w:numId w:val="4"/>
        </w:numPr>
        <w:spacing w:line="240" w:lineRule="auto"/>
        <w:rPr>
          <w:rFonts w:asciiTheme="majorBidi" w:hAnsiTheme="majorBidi" w:cstheme="majorBidi"/>
          <w:noProof/>
        </w:rPr>
      </w:pPr>
      <w:r w:rsidRPr="00CE22CF">
        <w:rPr>
          <w:rFonts w:asciiTheme="majorBidi" w:hAnsiTheme="majorBidi" w:cstheme="majorBidi"/>
          <w:noProof/>
        </w:rPr>
        <w:t xml:space="preserve">Safa Station </w:t>
      </w:r>
      <w:r w:rsidR="00CE22CF" w:rsidRPr="00CE22CF">
        <w:rPr>
          <w:rFonts w:asciiTheme="majorBidi" w:hAnsiTheme="majorBidi" w:cstheme="majorBidi"/>
          <w:noProof/>
        </w:rPr>
        <w:t xml:space="preserve">production: </w:t>
      </w:r>
      <w:r w:rsidR="0073143C">
        <w:rPr>
          <w:rFonts w:asciiTheme="majorBidi" w:hAnsiTheme="majorBidi" w:cstheme="majorBidi"/>
          <w:noProof/>
        </w:rPr>
        <w:t>42</w:t>
      </w:r>
      <w:r w:rsidRPr="00CE22CF">
        <w:rPr>
          <w:rFonts w:asciiTheme="majorBidi" w:hAnsiTheme="majorBidi" w:cstheme="majorBidi"/>
          <w:noProof/>
        </w:rPr>
        <w:t>.</w:t>
      </w:r>
      <w:r w:rsidR="0073143C">
        <w:rPr>
          <w:rFonts w:asciiTheme="majorBidi" w:hAnsiTheme="majorBidi" w:cstheme="majorBidi"/>
          <w:noProof/>
        </w:rPr>
        <w:t>8</w:t>
      </w:r>
      <w:r w:rsidR="00CE22CF" w:rsidRPr="00CE22CF">
        <w:rPr>
          <w:rFonts w:asciiTheme="majorBidi" w:hAnsiTheme="majorBidi" w:cstheme="majorBidi"/>
          <w:noProof/>
        </w:rPr>
        <w:t>%</w:t>
      </w:r>
      <w:r w:rsidR="00DE5D02">
        <w:rPr>
          <w:rFonts w:asciiTheme="majorBidi" w:hAnsiTheme="majorBidi" w:cstheme="majorBidi"/>
          <w:noProof/>
        </w:rPr>
        <w:t>.</w:t>
      </w:r>
    </w:p>
    <w:p w:rsidR="00B06B61" w:rsidRPr="001936ED" w:rsidRDefault="00B06B61" w:rsidP="0073143C">
      <w:pPr>
        <w:bidi w:val="0"/>
        <w:jc w:val="center"/>
        <w:outlineLvl w:val="0"/>
        <w:rPr>
          <w:b/>
          <w:bCs/>
          <w:spacing w:val="-2"/>
          <w:sz w:val="22"/>
          <w:szCs w:val="22"/>
        </w:rPr>
      </w:pPr>
      <w:bookmarkStart w:id="3" w:name="_Toc263093747"/>
      <w:r w:rsidRPr="001936ED">
        <w:rPr>
          <w:b/>
          <w:bCs/>
          <w:spacing w:val="-2"/>
          <w:sz w:val="22"/>
          <w:szCs w:val="22"/>
        </w:rPr>
        <w:t xml:space="preserve">Table </w:t>
      </w:r>
      <w:r w:rsidR="0079415D" w:rsidRPr="001936ED">
        <w:rPr>
          <w:b/>
          <w:bCs/>
          <w:spacing w:val="-2"/>
          <w:sz w:val="22"/>
          <w:szCs w:val="22"/>
        </w:rPr>
        <w:t>5.2</w:t>
      </w:r>
      <w:r w:rsidRPr="001936ED">
        <w:rPr>
          <w:b/>
          <w:bCs/>
          <w:spacing w:val="-2"/>
          <w:sz w:val="22"/>
          <w:szCs w:val="22"/>
        </w:rPr>
        <w:t xml:space="preserve"> – Thermal energy production, purchases and consumption</w:t>
      </w:r>
      <w:r w:rsidR="00D77072" w:rsidRPr="001936ED">
        <w:rPr>
          <w:b/>
          <w:bCs/>
          <w:spacing w:val="-2"/>
          <w:sz w:val="22"/>
          <w:szCs w:val="22"/>
        </w:rPr>
        <w:t>. M</w:t>
      </w:r>
      <w:r w:rsidRPr="001936ED">
        <w:rPr>
          <w:b/>
          <w:bCs/>
          <w:spacing w:val="-2"/>
          <w:sz w:val="22"/>
          <w:szCs w:val="22"/>
        </w:rPr>
        <w:t xml:space="preserve">illion KWh in </w:t>
      </w:r>
      <w:bookmarkEnd w:id="3"/>
      <w:r w:rsidR="0073143C" w:rsidRPr="001936ED">
        <w:rPr>
          <w:b/>
          <w:bCs/>
          <w:spacing w:val="-2"/>
          <w:sz w:val="22"/>
          <w:szCs w:val="22"/>
        </w:rPr>
        <w:t>2010</w:t>
      </w:r>
      <w:r w:rsidRPr="001936ED">
        <w:rPr>
          <w:b/>
          <w:bCs/>
          <w:spacing w:val="-2"/>
          <w:sz w:val="22"/>
          <w:szCs w:val="22"/>
        </w:rPr>
        <w:t xml:space="preserve"> </w:t>
      </w:r>
    </w:p>
    <w:tbl>
      <w:tblPr>
        <w:tblW w:w="9728" w:type="dxa"/>
        <w:jc w:val="center"/>
        <w:tblInd w:w="-166" w:type="dxa"/>
        <w:tblBorders>
          <w:top w:val="single" w:sz="12" w:space="0" w:color="auto"/>
          <w:bottom w:val="single" w:sz="12" w:space="0" w:color="auto"/>
          <w:insideH w:val="single" w:sz="12" w:space="0" w:color="auto"/>
        </w:tblBorders>
        <w:tblLook w:val="04A0"/>
      </w:tblPr>
      <w:tblGrid>
        <w:gridCol w:w="2209"/>
        <w:gridCol w:w="1521"/>
        <w:gridCol w:w="1160"/>
        <w:gridCol w:w="2511"/>
        <w:gridCol w:w="2327"/>
      </w:tblGrid>
      <w:tr w:rsidR="00CE22CF" w:rsidRPr="001936ED" w:rsidTr="00CE22CF">
        <w:trPr>
          <w:trHeight w:val="330"/>
          <w:jc w:val="center"/>
        </w:trPr>
        <w:tc>
          <w:tcPr>
            <w:tcW w:w="2209" w:type="dxa"/>
            <w:tcBorders>
              <w:bottom w:val="single" w:sz="12" w:space="0" w:color="auto"/>
            </w:tcBorders>
            <w:shd w:val="clear" w:color="auto" w:fill="auto"/>
            <w:vAlign w:val="center"/>
            <w:hideMark/>
          </w:tcPr>
          <w:p w:rsidR="00CE22CF" w:rsidRPr="001936ED" w:rsidRDefault="00CE22CF" w:rsidP="000B28FF">
            <w:pPr>
              <w:bidi w:val="0"/>
              <w:rPr>
                <w:rFonts w:eastAsia="Times New Roman"/>
                <w:b/>
                <w:bCs/>
                <w:sz w:val="16"/>
                <w:szCs w:val="16"/>
                <w:lang w:eastAsia="en-US" w:bidi="ar-SA"/>
              </w:rPr>
            </w:pPr>
            <w:r w:rsidRPr="001936ED">
              <w:rPr>
                <w:rFonts w:eastAsia="Times New Roman"/>
                <w:b/>
                <w:bCs/>
                <w:sz w:val="16"/>
                <w:szCs w:val="16"/>
                <w:lang w:eastAsia="en-US" w:bidi="ar-SA"/>
              </w:rPr>
              <w:t>Thermal energy</w:t>
            </w:r>
          </w:p>
        </w:tc>
        <w:tc>
          <w:tcPr>
            <w:tcW w:w="1521" w:type="dxa"/>
            <w:tcBorders>
              <w:bottom w:val="single" w:sz="12" w:space="0" w:color="auto"/>
            </w:tcBorders>
            <w:shd w:val="clear" w:color="auto" w:fill="auto"/>
            <w:noWrap/>
            <w:vAlign w:val="center"/>
            <w:hideMark/>
          </w:tcPr>
          <w:p w:rsidR="00CE22CF" w:rsidRPr="001936ED" w:rsidRDefault="00CE22CF"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Million KWh</w:t>
            </w:r>
          </w:p>
        </w:tc>
        <w:tc>
          <w:tcPr>
            <w:tcW w:w="1160" w:type="dxa"/>
            <w:tcBorders>
              <w:bottom w:val="single" w:sz="12" w:space="0" w:color="auto"/>
            </w:tcBorders>
            <w:shd w:val="clear" w:color="auto" w:fill="auto"/>
            <w:noWrap/>
            <w:vAlign w:val="center"/>
            <w:hideMark/>
          </w:tcPr>
          <w:p w:rsidR="00CE22CF" w:rsidRPr="001936ED" w:rsidRDefault="00AB151D"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w:t>
            </w:r>
          </w:p>
        </w:tc>
        <w:tc>
          <w:tcPr>
            <w:tcW w:w="2511" w:type="dxa"/>
            <w:tcBorders>
              <w:bottom w:val="single" w:sz="12" w:space="0" w:color="auto"/>
            </w:tcBorders>
            <w:shd w:val="clear" w:color="auto" w:fill="auto"/>
            <w:noWrap/>
            <w:vAlign w:val="center"/>
            <w:hideMark/>
          </w:tcPr>
          <w:p w:rsidR="00CE22CF" w:rsidRPr="001936ED" w:rsidRDefault="00CE22CF"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Peak month. Million KWh</w:t>
            </w:r>
          </w:p>
        </w:tc>
        <w:tc>
          <w:tcPr>
            <w:tcW w:w="2327" w:type="dxa"/>
            <w:tcBorders>
              <w:bottom w:val="single" w:sz="12" w:space="0" w:color="auto"/>
            </w:tcBorders>
            <w:shd w:val="clear" w:color="auto" w:fill="auto"/>
            <w:noWrap/>
            <w:vAlign w:val="center"/>
            <w:hideMark/>
          </w:tcPr>
          <w:p w:rsidR="00CE22CF" w:rsidRPr="001936ED" w:rsidRDefault="00CE22CF" w:rsidP="00AB151D">
            <w:pPr>
              <w:bidi w:val="0"/>
              <w:jc w:val="right"/>
              <w:rPr>
                <w:rFonts w:eastAsia="Times New Roman"/>
                <w:b/>
                <w:bCs/>
                <w:sz w:val="16"/>
                <w:szCs w:val="16"/>
                <w:lang w:eastAsia="en-US" w:bidi="ar-SA"/>
              </w:rPr>
            </w:pPr>
            <w:r w:rsidRPr="001936ED">
              <w:rPr>
                <w:rFonts w:eastAsia="Times New Roman"/>
                <w:b/>
                <w:bCs/>
                <w:sz w:val="16"/>
                <w:szCs w:val="16"/>
                <w:lang w:eastAsia="en-US" w:bidi="ar-SA"/>
              </w:rPr>
              <w:t xml:space="preserve">Peak month. </w:t>
            </w:r>
            <w:r w:rsidR="00AB151D" w:rsidRPr="001936ED">
              <w:rPr>
                <w:rFonts w:eastAsia="Times New Roman"/>
                <w:b/>
                <w:bCs/>
                <w:sz w:val="16"/>
                <w:szCs w:val="16"/>
                <w:lang w:eastAsia="en-US" w:bidi="ar-SA"/>
              </w:rPr>
              <w:t>%</w:t>
            </w:r>
          </w:p>
        </w:tc>
      </w:tr>
      <w:tr w:rsidR="00B06B61" w:rsidRPr="001936ED" w:rsidTr="00CE22CF">
        <w:trPr>
          <w:trHeight w:val="255"/>
          <w:jc w:val="center"/>
        </w:trPr>
        <w:tc>
          <w:tcPr>
            <w:tcW w:w="2209" w:type="dxa"/>
            <w:tcBorders>
              <w:top w:val="dotted" w:sz="4" w:space="0" w:color="auto"/>
              <w:bottom w:val="single" w:sz="12" w:space="0" w:color="auto"/>
            </w:tcBorders>
            <w:shd w:val="clear" w:color="auto" w:fill="auto"/>
            <w:vAlign w:val="center"/>
            <w:hideMark/>
          </w:tcPr>
          <w:p w:rsidR="00B06B61" w:rsidRPr="001936ED" w:rsidRDefault="005A70BC" w:rsidP="000B28FF">
            <w:pPr>
              <w:bidi w:val="0"/>
              <w:rPr>
                <w:rFonts w:eastAsia="Times New Roman"/>
                <w:b/>
                <w:bCs/>
                <w:sz w:val="16"/>
                <w:szCs w:val="16"/>
                <w:lang w:eastAsia="en-US" w:bidi="ar-SA"/>
              </w:rPr>
            </w:pPr>
            <w:r w:rsidRPr="001936ED">
              <w:rPr>
                <w:rFonts w:eastAsia="Times New Roman"/>
                <w:b/>
                <w:bCs/>
                <w:sz w:val="16"/>
                <w:szCs w:val="16"/>
                <w:lang w:eastAsia="en-US" w:bidi="ar-SA"/>
              </w:rPr>
              <w:t>Total production</w:t>
            </w:r>
          </w:p>
        </w:tc>
        <w:tc>
          <w:tcPr>
            <w:tcW w:w="1521" w:type="dxa"/>
            <w:tcBorders>
              <w:top w:val="dotted" w:sz="4" w:space="0" w:color="auto"/>
              <w:bottom w:val="single" w:sz="12" w:space="0" w:color="auto"/>
            </w:tcBorders>
            <w:shd w:val="clear" w:color="auto" w:fill="auto"/>
            <w:noWrap/>
            <w:vAlign w:val="center"/>
            <w:hideMark/>
          </w:tcPr>
          <w:p w:rsidR="00B06B61" w:rsidRPr="001936ED" w:rsidRDefault="00F94B88"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10,378</w:t>
            </w:r>
          </w:p>
        </w:tc>
        <w:tc>
          <w:tcPr>
            <w:tcW w:w="1160" w:type="dxa"/>
            <w:tcBorders>
              <w:top w:val="dotted" w:sz="4" w:space="0" w:color="auto"/>
              <w:bottom w:val="single" w:sz="12" w:space="0" w:color="auto"/>
            </w:tcBorders>
            <w:shd w:val="clear" w:color="auto" w:fill="auto"/>
            <w:noWrap/>
            <w:vAlign w:val="center"/>
            <w:hideMark/>
          </w:tcPr>
          <w:p w:rsidR="00B06B61" w:rsidRPr="001936ED" w:rsidRDefault="005A70BC" w:rsidP="000B28FF">
            <w:pPr>
              <w:bidi w:val="0"/>
              <w:jc w:val="right"/>
              <w:rPr>
                <w:rFonts w:eastAsia="Times New Roman"/>
                <w:b/>
                <w:bCs/>
                <w:sz w:val="16"/>
                <w:szCs w:val="16"/>
                <w:lang w:eastAsia="en-US" w:bidi="ar-SA"/>
              </w:rPr>
            </w:pPr>
            <w:r w:rsidRPr="001936ED">
              <w:rPr>
                <w:rFonts w:eastAsia="Times New Roman"/>
                <w:b/>
                <w:bCs/>
                <w:sz w:val="16"/>
                <w:szCs w:val="16"/>
                <w:lang w:eastAsia="en-US" w:bidi="ar-SA"/>
              </w:rPr>
              <w:t>100</w:t>
            </w:r>
          </w:p>
        </w:tc>
        <w:tc>
          <w:tcPr>
            <w:tcW w:w="2511" w:type="dxa"/>
            <w:tcBorders>
              <w:top w:val="dotted" w:sz="4" w:space="0" w:color="auto"/>
              <w:bottom w:val="single" w:sz="12" w:space="0" w:color="auto"/>
            </w:tcBorders>
            <w:shd w:val="clear" w:color="auto" w:fill="auto"/>
            <w:noWrap/>
            <w:vAlign w:val="center"/>
            <w:hideMark/>
          </w:tcPr>
          <w:p w:rsidR="00B06B61" w:rsidRPr="001936ED" w:rsidRDefault="00D9077D" w:rsidP="001936ED">
            <w:pPr>
              <w:bidi w:val="0"/>
              <w:jc w:val="right"/>
              <w:rPr>
                <w:rFonts w:eastAsia="Times New Roman"/>
                <w:b/>
                <w:bCs/>
                <w:sz w:val="16"/>
                <w:szCs w:val="16"/>
                <w:lang w:eastAsia="en-US" w:bidi="ar-SA"/>
              </w:rPr>
            </w:pPr>
            <w:r w:rsidRPr="001936ED">
              <w:rPr>
                <w:rFonts w:eastAsia="Times New Roman"/>
                <w:b/>
                <w:bCs/>
                <w:sz w:val="16"/>
                <w:szCs w:val="16"/>
                <w:lang w:eastAsia="en-US" w:bidi="ar-SA"/>
              </w:rPr>
              <w:t>July (</w:t>
            </w:r>
            <w:r w:rsidR="001936ED">
              <w:rPr>
                <w:rFonts w:eastAsia="Times New Roman"/>
                <w:b/>
                <w:bCs/>
                <w:sz w:val="16"/>
                <w:szCs w:val="16"/>
                <w:lang w:eastAsia="en-US" w:bidi="ar-SA"/>
              </w:rPr>
              <w:t>1,083</w:t>
            </w:r>
            <w:r w:rsidRPr="001936ED">
              <w:rPr>
                <w:rFonts w:eastAsia="Times New Roman"/>
                <w:b/>
                <w:bCs/>
                <w:sz w:val="16"/>
                <w:szCs w:val="16"/>
                <w:lang w:eastAsia="en-US" w:bidi="ar-SA"/>
              </w:rPr>
              <w:t>)</w:t>
            </w:r>
          </w:p>
        </w:tc>
        <w:tc>
          <w:tcPr>
            <w:tcW w:w="2327" w:type="dxa"/>
            <w:tcBorders>
              <w:top w:val="dotted" w:sz="4" w:space="0" w:color="auto"/>
              <w:bottom w:val="single" w:sz="12" w:space="0" w:color="auto"/>
            </w:tcBorders>
            <w:shd w:val="clear" w:color="auto" w:fill="auto"/>
            <w:noWrap/>
            <w:vAlign w:val="center"/>
            <w:hideMark/>
          </w:tcPr>
          <w:p w:rsidR="00B06B61" w:rsidRPr="001936ED" w:rsidRDefault="001936ED" w:rsidP="001936ED">
            <w:pPr>
              <w:bidi w:val="0"/>
              <w:jc w:val="right"/>
              <w:rPr>
                <w:rFonts w:eastAsia="Times New Roman"/>
                <w:b/>
                <w:bCs/>
                <w:sz w:val="16"/>
                <w:szCs w:val="16"/>
                <w:lang w:eastAsia="en-US" w:bidi="ar-SA"/>
              </w:rPr>
            </w:pPr>
            <w:r>
              <w:rPr>
                <w:rFonts w:eastAsia="Times New Roman"/>
                <w:b/>
                <w:bCs/>
                <w:sz w:val="16"/>
                <w:szCs w:val="16"/>
                <w:lang w:eastAsia="en-US" w:bidi="ar-SA"/>
              </w:rPr>
              <w:t>August</w:t>
            </w:r>
            <w:r w:rsidR="00B06B61" w:rsidRPr="001936ED">
              <w:rPr>
                <w:rFonts w:eastAsia="Times New Roman"/>
                <w:b/>
                <w:bCs/>
                <w:sz w:val="16"/>
                <w:szCs w:val="16"/>
                <w:lang w:eastAsia="en-US" w:bidi="ar-SA"/>
              </w:rPr>
              <w:t xml:space="preserve"> (</w:t>
            </w:r>
            <w:r>
              <w:rPr>
                <w:rFonts w:eastAsia="Times New Roman"/>
                <w:b/>
                <w:bCs/>
                <w:sz w:val="16"/>
                <w:szCs w:val="16"/>
                <w:lang w:eastAsia="en-US" w:bidi="ar-SA"/>
              </w:rPr>
              <w:t>10.4</w:t>
            </w:r>
            <w:r w:rsidR="00B06B61" w:rsidRPr="001936ED">
              <w:rPr>
                <w:rFonts w:eastAsia="Times New Roman"/>
                <w:b/>
                <w:bCs/>
                <w:sz w:val="16"/>
                <w:szCs w:val="16"/>
                <w:lang w:eastAsia="en-US" w:bidi="ar-SA"/>
              </w:rPr>
              <w:t>)</w:t>
            </w:r>
          </w:p>
        </w:tc>
      </w:tr>
      <w:tr w:rsidR="00984F5B" w:rsidRPr="001936ED" w:rsidTr="00CE22CF">
        <w:trPr>
          <w:trHeight w:val="255"/>
          <w:jc w:val="center"/>
        </w:trPr>
        <w:tc>
          <w:tcPr>
            <w:tcW w:w="2209" w:type="dxa"/>
            <w:tcBorders>
              <w:top w:val="single" w:sz="12" w:space="0" w:color="auto"/>
              <w:bottom w:val="dotted" w:sz="4" w:space="0" w:color="auto"/>
            </w:tcBorders>
            <w:shd w:val="clear" w:color="auto" w:fill="auto"/>
            <w:vAlign w:val="center"/>
            <w:hideMark/>
          </w:tcPr>
          <w:p w:rsidR="00984F5B" w:rsidRPr="001936ED" w:rsidRDefault="00984F5B" w:rsidP="000B28FF">
            <w:pPr>
              <w:bidi w:val="0"/>
              <w:rPr>
                <w:rFonts w:eastAsia="Times New Roman"/>
                <w:sz w:val="16"/>
                <w:szCs w:val="16"/>
                <w:lang w:eastAsia="en-US" w:bidi="ar-SA"/>
              </w:rPr>
            </w:pPr>
            <w:r w:rsidRPr="001936ED">
              <w:rPr>
                <w:rFonts w:eastAsia="Times New Roman"/>
                <w:sz w:val="16"/>
                <w:szCs w:val="16"/>
                <w:lang w:eastAsia="en-US" w:bidi="ar-SA"/>
              </w:rPr>
              <w:t>Mixed</w:t>
            </w:r>
          </w:p>
        </w:tc>
        <w:tc>
          <w:tcPr>
            <w:tcW w:w="1521" w:type="dxa"/>
            <w:tcBorders>
              <w:top w:val="single" w:sz="12" w:space="0" w:color="auto"/>
              <w:bottom w:val="dotted" w:sz="4" w:space="0" w:color="auto"/>
            </w:tcBorders>
            <w:shd w:val="clear" w:color="auto" w:fill="auto"/>
            <w:noWrap/>
            <w:vAlign w:val="center"/>
            <w:hideMark/>
          </w:tcPr>
          <w:p w:rsidR="00984F5B" w:rsidRPr="001936ED" w:rsidRDefault="00F94B88" w:rsidP="001936ED">
            <w:pPr>
              <w:bidi w:val="0"/>
              <w:jc w:val="right"/>
              <w:rPr>
                <w:rFonts w:eastAsia="Times New Roman"/>
                <w:sz w:val="16"/>
                <w:szCs w:val="16"/>
                <w:lang w:eastAsia="en-US" w:bidi="ar-SA"/>
              </w:rPr>
            </w:pPr>
            <w:r w:rsidRPr="001936ED">
              <w:rPr>
                <w:rFonts w:eastAsia="Times New Roman"/>
                <w:sz w:val="16"/>
                <w:szCs w:val="16"/>
                <w:lang w:eastAsia="en-US" w:bidi="ar-SA"/>
              </w:rPr>
              <w:t>5</w:t>
            </w:r>
            <w:r w:rsidR="001936ED" w:rsidRPr="001936ED">
              <w:rPr>
                <w:rFonts w:eastAsia="Times New Roman"/>
                <w:sz w:val="16"/>
                <w:szCs w:val="16"/>
                <w:lang w:eastAsia="en-US" w:bidi="ar-SA"/>
              </w:rPr>
              <w:t>,</w:t>
            </w:r>
            <w:r w:rsidRPr="001936ED">
              <w:rPr>
                <w:rFonts w:eastAsia="Times New Roman"/>
                <w:sz w:val="16"/>
                <w:szCs w:val="16"/>
                <w:lang w:eastAsia="en-US" w:bidi="ar-SA"/>
              </w:rPr>
              <w:t>5</w:t>
            </w:r>
            <w:r w:rsidR="001936ED" w:rsidRPr="001936ED">
              <w:rPr>
                <w:rFonts w:eastAsia="Times New Roman"/>
                <w:sz w:val="16"/>
                <w:szCs w:val="16"/>
                <w:lang w:eastAsia="en-US" w:bidi="ar-SA"/>
              </w:rPr>
              <w:t>70</w:t>
            </w:r>
          </w:p>
        </w:tc>
        <w:tc>
          <w:tcPr>
            <w:tcW w:w="1160" w:type="dxa"/>
            <w:tcBorders>
              <w:top w:val="single" w:sz="12" w:space="0" w:color="auto"/>
              <w:bottom w:val="dotted" w:sz="4" w:space="0" w:color="auto"/>
            </w:tcBorders>
            <w:shd w:val="clear" w:color="auto" w:fill="auto"/>
            <w:noWrap/>
            <w:vAlign w:val="center"/>
            <w:hideMark/>
          </w:tcPr>
          <w:p w:rsidR="00984F5B" w:rsidRPr="001936ED" w:rsidRDefault="001936ED" w:rsidP="001936ED">
            <w:pPr>
              <w:bidi w:val="0"/>
              <w:jc w:val="right"/>
              <w:rPr>
                <w:rFonts w:eastAsia="Times New Roman"/>
                <w:sz w:val="16"/>
                <w:szCs w:val="16"/>
                <w:lang w:eastAsia="en-US" w:bidi="ar-SA"/>
              </w:rPr>
            </w:pPr>
            <w:r>
              <w:rPr>
                <w:rFonts w:eastAsia="Times New Roman"/>
                <w:sz w:val="16"/>
                <w:szCs w:val="16"/>
                <w:lang w:eastAsia="en-US" w:bidi="ar-SA"/>
              </w:rPr>
              <w:t>53.7</w:t>
            </w:r>
          </w:p>
        </w:tc>
        <w:tc>
          <w:tcPr>
            <w:tcW w:w="2511" w:type="dxa"/>
            <w:tcBorders>
              <w:top w:val="single" w:sz="12" w:space="0" w:color="auto"/>
              <w:bottom w:val="dotted" w:sz="4" w:space="0" w:color="auto"/>
            </w:tcBorders>
            <w:shd w:val="clear" w:color="auto" w:fill="auto"/>
            <w:noWrap/>
            <w:vAlign w:val="center"/>
            <w:hideMark/>
          </w:tcPr>
          <w:p w:rsidR="00984F5B" w:rsidRPr="001936ED" w:rsidRDefault="001936ED" w:rsidP="000B28FF">
            <w:pPr>
              <w:bidi w:val="0"/>
              <w:jc w:val="right"/>
              <w:rPr>
                <w:rFonts w:eastAsia="Times New Roman"/>
                <w:sz w:val="16"/>
                <w:szCs w:val="16"/>
                <w:lang w:eastAsia="en-US" w:bidi="ar-SA"/>
              </w:rPr>
            </w:pPr>
            <w:r>
              <w:rPr>
                <w:rFonts w:eastAsia="Times New Roman"/>
                <w:sz w:val="16"/>
                <w:szCs w:val="16"/>
                <w:lang w:eastAsia="en-US" w:bidi="ar-SA"/>
              </w:rPr>
              <w:t>July (563)</w:t>
            </w:r>
          </w:p>
        </w:tc>
        <w:tc>
          <w:tcPr>
            <w:tcW w:w="2327" w:type="dxa"/>
            <w:tcBorders>
              <w:top w:val="single" w:sz="12" w:space="0" w:color="auto"/>
              <w:bottom w:val="dotted" w:sz="4" w:space="0" w:color="auto"/>
            </w:tcBorders>
            <w:shd w:val="clear" w:color="auto" w:fill="auto"/>
            <w:noWrap/>
            <w:vAlign w:val="center"/>
            <w:hideMark/>
          </w:tcPr>
          <w:p w:rsidR="00984F5B" w:rsidRPr="001936ED" w:rsidRDefault="001936ED" w:rsidP="000B28FF">
            <w:pPr>
              <w:bidi w:val="0"/>
              <w:jc w:val="right"/>
              <w:rPr>
                <w:rFonts w:eastAsia="Times New Roman"/>
                <w:sz w:val="16"/>
                <w:szCs w:val="16"/>
                <w:lang w:eastAsia="en-US" w:bidi="ar-SA"/>
              </w:rPr>
            </w:pPr>
            <w:r>
              <w:rPr>
                <w:rFonts w:eastAsia="Times New Roman"/>
                <w:sz w:val="16"/>
                <w:szCs w:val="16"/>
                <w:lang w:eastAsia="en-US" w:bidi="ar-SA"/>
              </w:rPr>
              <w:t>July (10.1%)</w:t>
            </w:r>
          </w:p>
        </w:tc>
      </w:tr>
      <w:tr w:rsidR="00984F5B" w:rsidRPr="001936ED" w:rsidTr="00CE22CF">
        <w:trPr>
          <w:trHeight w:val="255"/>
          <w:jc w:val="center"/>
        </w:trPr>
        <w:tc>
          <w:tcPr>
            <w:tcW w:w="2209" w:type="dxa"/>
            <w:tcBorders>
              <w:top w:val="dotted" w:sz="4" w:space="0" w:color="auto"/>
              <w:bottom w:val="dotted" w:sz="4" w:space="0" w:color="auto"/>
            </w:tcBorders>
            <w:shd w:val="clear" w:color="auto" w:fill="auto"/>
            <w:vAlign w:val="center"/>
            <w:hideMark/>
          </w:tcPr>
          <w:p w:rsidR="00984F5B" w:rsidRPr="001936ED" w:rsidRDefault="00984F5B" w:rsidP="000B28FF">
            <w:pPr>
              <w:bidi w:val="0"/>
              <w:rPr>
                <w:rFonts w:eastAsia="Times New Roman"/>
                <w:sz w:val="16"/>
                <w:szCs w:val="16"/>
                <w:lang w:eastAsia="en-US" w:bidi="ar-SA"/>
              </w:rPr>
            </w:pPr>
            <w:r w:rsidRPr="001936ED">
              <w:rPr>
                <w:rFonts w:eastAsia="Times New Roman"/>
                <w:sz w:val="16"/>
                <w:szCs w:val="16"/>
                <w:lang w:eastAsia="en-US" w:bidi="ar-SA"/>
              </w:rPr>
              <w:t>Steam</w:t>
            </w:r>
          </w:p>
        </w:tc>
        <w:tc>
          <w:tcPr>
            <w:tcW w:w="1521" w:type="dxa"/>
            <w:tcBorders>
              <w:top w:val="dotted" w:sz="4" w:space="0" w:color="auto"/>
              <w:bottom w:val="dotted" w:sz="4" w:space="0" w:color="auto"/>
            </w:tcBorders>
            <w:shd w:val="clear" w:color="auto" w:fill="auto"/>
            <w:noWrap/>
            <w:vAlign w:val="center"/>
            <w:hideMark/>
          </w:tcPr>
          <w:p w:rsidR="00984F5B" w:rsidRPr="001936ED" w:rsidRDefault="001936ED" w:rsidP="000B28FF">
            <w:pPr>
              <w:bidi w:val="0"/>
              <w:jc w:val="right"/>
              <w:rPr>
                <w:rFonts w:eastAsia="Times New Roman"/>
                <w:sz w:val="16"/>
                <w:szCs w:val="16"/>
                <w:lang w:eastAsia="en-US" w:bidi="ar-SA"/>
              </w:rPr>
            </w:pPr>
            <w:r w:rsidRPr="001936ED">
              <w:rPr>
                <w:rFonts w:eastAsia="Times New Roman"/>
                <w:sz w:val="16"/>
                <w:szCs w:val="16"/>
                <w:lang w:eastAsia="en-US" w:bidi="ar-SA"/>
              </w:rPr>
              <w:t>4,060</w:t>
            </w:r>
          </w:p>
        </w:tc>
        <w:tc>
          <w:tcPr>
            <w:tcW w:w="1160" w:type="dxa"/>
            <w:tcBorders>
              <w:top w:val="dotted" w:sz="4" w:space="0" w:color="auto"/>
              <w:bottom w:val="dotted" w:sz="4" w:space="0" w:color="auto"/>
            </w:tcBorders>
            <w:shd w:val="clear" w:color="auto" w:fill="auto"/>
            <w:noWrap/>
            <w:vAlign w:val="center"/>
            <w:hideMark/>
          </w:tcPr>
          <w:p w:rsidR="00984F5B" w:rsidRPr="001936ED" w:rsidRDefault="001936ED" w:rsidP="000B28FF">
            <w:pPr>
              <w:bidi w:val="0"/>
              <w:jc w:val="right"/>
              <w:rPr>
                <w:rFonts w:eastAsia="Times New Roman"/>
                <w:sz w:val="16"/>
                <w:szCs w:val="16"/>
                <w:lang w:eastAsia="en-US" w:bidi="ar-SA"/>
              </w:rPr>
            </w:pPr>
            <w:r>
              <w:rPr>
                <w:rFonts w:eastAsia="Times New Roman"/>
                <w:sz w:val="16"/>
                <w:szCs w:val="16"/>
                <w:lang w:eastAsia="en-US" w:bidi="ar-SA"/>
              </w:rPr>
              <w:t>39.1</w:t>
            </w:r>
          </w:p>
        </w:tc>
        <w:tc>
          <w:tcPr>
            <w:tcW w:w="2511" w:type="dxa"/>
            <w:tcBorders>
              <w:top w:val="dotted" w:sz="4" w:space="0" w:color="auto"/>
              <w:bottom w:val="dotted" w:sz="4" w:space="0" w:color="auto"/>
            </w:tcBorders>
            <w:shd w:val="clear" w:color="auto" w:fill="auto"/>
            <w:noWrap/>
            <w:vAlign w:val="center"/>
            <w:hideMark/>
          </w:tcPr>
          <w:p w:rsidR="00984F5B" w:rsidRPr="001936ED" w:rsidRDefault="005C385C" w:rsidP="000B28FF">
            <w:pPr>
              <w:bidi w:val="0"/>
              <w:jc w:val="right"/>
              <w:rPr>
                <w:rFonts w:eastAsia="Times New Roman"/>
                <w:sz w:val="16"/>
                <w:szCs w:val="16"/>
                <w:lang w:eastAsia="en-US" w:bidi="ar-SA"/>
              </w:rPr>
            </w:pPr>
            <w:r>
              <w:rPr>
                <w:rFonts w:eastAsia="Times New Roman"/>
                <w:sz w:val="16"/>
                <w:szCs w:val="16"/>
                <w:lang w:eastAsia="en-US" w:bidi="ar-SA"/>
              </w:rPr>
              <w:t>August (426)</w:t>
            </w:r>
          </w:p>
        </w:tc>
        <w:tc>
          <w:tcPr>
            <w:tcW w:w="2327" w:type="dxa"/>
            <w:tcBorders>
              <w:top w:val="dotted" w:sz="4" w:space="0" w:color="auto"/>
              <w:bottom w:val="dotted" w:sz="4" w:space="0" w:color="auto"/>
            </w:tcBorders>
            <w:shd w:val="clear" w:color="auto" w:fill="auto"/>
            <w:noWrap/>
            <w:vAlign w:val="center"/>
            <w:hideMark/>
          </w:tcPr>
          <w:p w:rsidR="00984F5B" w:rsidRPr="001936ED" w:rsidRDefault="005C385C" w:rsidP="000B28FF">
            <w:pPr>
              <w:bidi w:val="0"/>
              <w:jc w:val="right"/>
              <w:rPr>
                <w:rFonts w:eastAsia="Times New Roman"/>
                <w:sz w:val="16"/>
                <w:szCs w:val="16"/>
                <w:lang w:eastAsia="en-US" w:bidi="ar-SA"/>
              </w:rPr>
            </w:pPr>
            <w:r>
              <w:rPr>
                <w:rFonts w:eastAsia="Times New Roman"/>
                <w:sz w:val="16"/>
                <w:szCs w:val="16"/>
                <w:lang w:eastAsia="en-US" w:bidi="ar-SA"/>
              </w:rPr>
              <w:t>August (10.5)</w:t>
            </w:r>
          </w:p>
        </w:tc>
      </w:tr>
      <w:tr w:rsidR="005A70BC" w:rsidRPr="001936ED" w:rsidTr="00CE22CF">
        <w:trPr>
          <w:trHeight w:val="255"/>
          <w:jc w:val="center"/>
        </w:trPr>
        <w:tc>
          <w:tcPr>
            <w:tcW w:w="2209" w:type="dxa"/>
            <w:tcBorders>
              <w:top w:val="dotted" w:sz="4" w:space="0" w:color="auto"/>
              <w:bottom w:val="dotted" w:sz="4" w:space="0" w:color="auto"/>
            </w:tcBorders>
            <w:shd w:val="clear" w:color="auto" w:fill="auto"/>
            <w:vAlign w:val="center"/>
            <w:hideMark/>
          </w:tcPr>
          <w:p w:rsidR="005A70BC" w:rsidRPr="001936ED" w:rsidRDefault="005A70BC" w:rsidP="000B28FF">
            <w:pPr>
              <w:bidi w:val="0"/>
              <w:rPr>
                <w:rFonts w:eastAsia="Times New Roman"/>
                <w:sz w:val="16"/>
                <w:szCs w:val="16"/>
                <w:lang w:eastAsia="en-US" w:bidi="ar-SA"/>
              </w:rPr>
            </w:pPr>
            <w:r w:rsidRPr="001936ED">
              <w:rPr>
                <w:rFonts w:eastAsia="Times New Roman"/>
                <w:sz w:val="16"/>
                <w:szCs w:val="16"/>
                <w:lang w:eastAsia="en-US" w:bidi="ar-SA"/>
              </w:rPr>
              <w:t>Gas</w:t>
            </w:r>
          </w:p>
        </w:tc>
        <w:tc>
          <w:tcPr>
            <w:tcW w:w="1521" w:type="dxa"/>
            <w:tcBorders>
              <w:top w:val="dotted" w:sz="4" w:space="0" w:color="auto"/>
              <w:bottom w:val="dotted" w:sz="4" w:space="0" w:color="auto"/>
            </w:tcBorders>
            <w:shd w:val="clear" w:color="auto" w:fill="auto"/>
            <w:noWrap/>
            <w:vAlign w:val="center"/>
            <w:hideMark/>
          </w:tcPr>
          <w:p w:rsidR="005A70BC" w:rsidRPr="001936ED" w:rsidRDefault="001936ED" w:rsidP="000B28FF">
            <w:pPr>
              <w:bidi w:val="0"/>
              <w:jc w:val="right"/>
              <w:rPr>
                <w:rFonts w:eastAsia="Times New Roman"/>
                <w:sz w:val="16"/>
                <w:szCs w:val="16"/>
                <w:lang w:eastAsia="en-US" w:bidi="ar-SA"/>
              </w:rPr>
            </w:pPr>
            <w:r w:rsidRPr="001936ED">
              <w:rPr>
                <w:rFonts w:eastAsia="Times New Roman"/>
                <w:sz w:val="16"/>
                <w:szCs w:val="16"/>
                <w:lang w:eastAsia="en-US" w:bidi="ar-SA"/>
              </w:rPr>
              <w:t>485</w:t>
            </w:r>
          </w:p>
        </w:tc>
        <w:tc>
          <w:tcPr>
            <w:tcW w:w="1160" w:type="dxa"/>
            <w:tcBorders>
              <w:top w:val="dotted" w:sz="4" w:space="0" w:color="auto"/>
              <w:bottom w:val="dotted" w:sz="4" w:space="0" w:color="auto"/>
            </w:tcBorders>
            <w:shd w:val="clear" w:color="auto" w:fill="auto"/>
            <w:noWrap/>
            <w:vAlign w:val="center"/>
            <w:hideMark/>
          </w:tcPr>
          <w:p w:rsidR="005A70BC" w:rsidRPr="001936ED" w:rsidRDefault="001936ED" w:rsidP="000B28FF">
            <w:pPr>
              <w:bidi w:val="0"/>
              <w:jc w:val="right"/>
              <w:rPr>
                <w:rFonts w:eastAsia="Times New Roman"/>
                <w:sz w:val="16"/>
                <w:szCs w:val="16"/>
                <w:lang w:eastAsia="en-US" w:bidi="ar-SA"/>
              </w:rPr>
            </w:pPr>
            <w:r>
              <w:rPr>
                <w:rFonts w:eastAsia="Times New Roman"/>
                <w:sz w:val="16"/>
                <w:szCs w:val="16"/>
                <w:lang w:eastAsia="en-US" w:bidi="ar-SA"/>
              </w:rPr>
              <w:t>4.7</w:t>
            </w:r>
          </w:p>
        </w:tc>
        <w:tc>
          <w:tcPr>
            <w:tcW w:w="2511" w:type="dxa"/>
            <w:tcBorders>
              <w:top w:val="dotted" w:sz="4" w:space="0" w:color="auto"/>
              <w:bottom w:val="dotted" w:sz="4" w:space="0" w:color="auto"/>
            </w:tcBorders>
            <w:shd w:val="clear" w:color="auto" w:fill="auto"/>
            <w:noWrap/>
            <w:vAlign w:val="center"/>
            <w:hideMark/>
          </w:tcPr>
          <w:p w:rsidR="005A70BC" w:rsidRPr="001936ED" w:rsidRDefault="006541B9" w:rsidP="000B28FF">
            <w:pPr>
              <w:bidi w:val="0"/>
              <w:jc w:val="right"/>
              <w:rPr>
                <w:rFonts w:eastAsia="Times New Roman"/>
                <w:sz w:val="16"/>
                <w:szCs w:val="16"/>
                <w:lang w:eastAsia="en-US" w:bidi="ar-SA"/>
              </w:rPr>
            </w:pPr>
            <w:r>
              <w:rPr>
                <w:rFonts w:eastAsia="Times New Roman"/>
                <w:sz w:val="16"/>
                <w:szCs w:val="16"/>
                <w:lang w:eastAsia="en-US" w:bidi="ar-SA"/>
              </w:rPr>
              <w:t>August (82)</w:t>
            </w:r>
          </w:p>
        </w:tc>
        <w:tc>
          <w:tcPr>
            <w:tcW w:w="2327" w:type="dxa"/>
            <w:tcBorders>
              <w:top w:val="dotted" w:sz="4" w:space="0" w:color="auto"/>
              <w:bottom w:val="dotted" w:sz="4" w:space="0" w:color="auto"/>
            </w:tcBorders>
            <w:shd w:val="clear" w:color="auto" w:fill="auto"/>
            <w:noWrap/>
            <w:vAlign w:val="center"/>
            <w:hideMark/>
          </w:tcPr>
          <w:p w:rsidR="005A70BC" w:rsidRPr="001936ED" w:rsidRDefault="006541B9" w:rsidP="000B28FF">
            <w:pPr>
              <w:bidi w:val="0"/>
              <w:jc w:val="right"/>
              <w:rPr>
                <w:rFonts w:eastAsia="Times New Roman"/>
                <w:sz w:val="16"/>
                <w:szCs w:val="16"/>
                <w:lang w:eastAsia="en-US" w:bidi="ar-SA"/>
              </w:rPr>
            </w:pPr>
            <w:r>
              <w:rPr>
                <w:rFonts w:eastAsia="Times New Roman"/>
                <w:sz w:val="16"/>
                <w:szCs w:val="16"/>
                <w:lang w:eastAsia="en-US" w:bidi="ar-SA"/>
              </w:rPr>
              <w:t>August (16.9)</w:t>
            </w:r>
          </w:p>
        </w:tc>
      </w:tr>
      <w:tr w:rsidR="005A70BC" w:rsidRPr="001936ED" w:rsidTr="00CE22CF">
        <w:trPr>
          <w:trHeight w:val="255"/>
          <w:jc w:val="center"/>
        </w:trPr>
        <w:tc>
          <w:tcPr>
            <w:tcW w:w="2209" w:type="dxa"/>
            <w:tcBorders>
              <w:top w:val="dotted" w:sz="4" w:space="0" w:color="auto"/>
              <w:bottom w:val="single" w:sz="12" w:space="0" w:color="auto"/>
            </w:tcBorders>
            <w:shd w:val="clear" w:color="auto" w:fill="auto"/>
            <w:vAlign w:val="center"/>
            <w:hideMark/>
          </w:tcPr>
          <w:p w:rsidR="005A70BC" w:rsidRPr="001936ED" w:rsidRDefault="005A70BC" w:rsidP="000B28FF">
            <w:pPr>
              <w:bidi w:val="0"/>
              <w:rPr>
                <w:rFonts w:eastAsia="Times New Roman"/>
                <w:sz w:val="16"/>
                <w:szCs w:val="16"/>
                <w:lang w:eastAsia="en-US" w:bidi="ar-SA"/>
              </w:rPr>
            </w:pPr>
            <w:r w:rsidRPr="001936ED">
              <w:rPr>
                <w:rFonts w:eastAsia="Times New Roman"/>
                <w:sz w:val="16"/>
                <w:szCs w:val="16"/>
                <w:lang w:eastAsia="en-US" w:bidi="ar-SA"/>
              </w:rPr>
              <w:t>Qadisha</w:t>
            </w:r>
          </w:p>
        </w:tc>
        <w:tc>
          <w:tcPr>
            <w:tcW w:w="1521" w:type="dxa"/>
            <w:tcBorders>
              <w:top w:val="dotted" w:sz="4" w:space="0" w:color="auto"/>
              <w:bottom w:val="single" w:sz="12" w:space="0" w:color="auto"/>
            </w:tcBorders>
            <w:shd w:val="clear" w:color="auto" w:fill="auto"/>
            <w:noWrap/>
            <w:vAlign w:val="center"/>
            <w:hideMark/>
          </w:tcPr>
          <w:p w:rsidR="005A70BC" w:rsidRPr="001936ED" w:rsidRDefault="001936ED" w:rsidP="000B28FF">
            <w:pPr>
              <w:bidi w:val="0"/>
              <w:jc w:val="right"/>
              <w:rPr>
                <w:rFonts w:eastAsia="Times New Roman"/>
                <w:sz w:val="16"/>
                <w:szCs w:val="16"/>
                <w:lang w:eastAsia="en-US" w:bidi="ar-SA"/>
              </w:rPr>
            </w:pPr>
            <w:r>
              <w:rPr>
                <w:rFonts w:eastAsia="Times New Roman"/>
                <w:sz w:val="16"/>
                <w:szCs w:val="16"/>
                <w:lang w:eastAsia="en-US" w:bidi="ar-SA"/>
              </w:rPr>
              <w:t>264</w:t>
            </w:r>
          </w:p>
        </w:tc>
        <w:tc>
          <w:tcPr>
            <w:tcW w:w="1160" w:type="dxa"/>
            <w:tcBorders>
              <w:top w:val="dotted" w:sz="4" w:space="0" w:color="auto"/>
              <w:bottom w:val="single" w:sz="12" w:space="0" w:color="auto"/>
            </w:tcBorders>
            <w:shd w:val="clear" w:color="auto" w:fill="auto"/>
            <w:noWrap/>
            <w:vAlign w:val="center"/>
            <w:hideMark/>
          </w:tcPr>
          <w:p w:rsidR="005A70BC" w:rsidRPr="001936ED" w:rsidRDefault="001936ED" w:rsidP="000B28FF">
            <w:pPr>
              <w:bidi w:val="0"/>
              <w:jc w:val="right"/>
              <w:rPr>
                <w:rFonts w:eastAsia="Times New Roman"/>
                <w:sz w:val="16"/>
                <w:szCs w:val="16"/>
                <w:lang w:eastAsia="en-US" w:bidi="ar-SA"/>
              </w:rPr>
            </w:pPr>
            <w:r>
              <w:rPr>
                <w:rFonts w:eastAsia="Times New Roman"/>
                <w:sz w:val="16"/>
                <w:szCs w:val="16"/>
                <w:lang w:eastAsia="en-US" w:bidi="ar-SA"/>
              </w:rPr>
              <w:t>2.5</w:t>
            </w:r>
          </w:p>
        </w:tc>
        <w:tc>
          <w:tcPr>
            <w:tcW w:w="2511" w:type="dxa"/>
            <w:tcBorders>
              <w:top w:val="dotted" w:sz="4" w:space="0" w:color="auto"/>
              <w:bottom w:val="single" w:sz="12" w:space="0" w:color="auto"/>
            </w:tcBorders>
            <w:shd w:val="clear" w:color="auto" w:fill="auto"/>
            <w:noWrap/>
            <w:vAlign w:val="center"/>
            <w:hideMark/>
          </w:tcPr>
          <w:p w:rsidR="005A70BC" w:rsidRPr="001936ED" w:rsidRDefault="00177D19" w:rsidP="000B28FF">
            <w:pPr>
              <w:bidi w:val="0"/>
              <w:jc w:val="right"/>
              <w:rPr>
                <w:rFonts w:eastAsia="Times New Roman"/>
                <w:sz w:val="16"/>
                <w:szCs w:val="16"/>
                <w:lang w:eastAsia="en-US" w:bidi="ar-SA"/>
              </w:rPr>
            </w:pPr>
            <w:r>
              <w:rPr>
                <w:rFonts w:eastAsia="Times New Roman"/>
                <w:sz w:val="16"/>
                <w:szCs w:val="16"/>
                <w:lang w:eastAsia="en-US" w:bidi="ar-SA"/>
              </w:rPr>
              <w:t>August (26)</w:t>
            </w:r>
          </w:p>
        </w:tc>
        <w:tc>
          <w:tcPr>
            <w:tcW w:w="2327" w:type="dxa"/>
            <w:tcBorders>
              <w:top w:val="dotted" w:sz="4" w:space="0" w:color="auto"/>
              <w:bottom w:val="single" w:sz="12" w:space="0" w:color="auto"/>
            </w:tcBorders>
            <w:shd w:val="clear" w:color="auto" w:fill="auto"/>
            <w:noWrap/>
            <w:vAlign w:val="center"/>
            <w:hideMark/>
          </w:tcPr>
          <w:p w:rsidR="005A70BC" w:rsidRPr="001936ED" w:rsidRDefault="00177D19" w:rsidP="000B28FF">
            <w:pPr>
              <w:bidi w:val="0"/>
              <w:jc w:val="right"/>
              <w:rPr>
                <w:rFonts w:eastAsia="Times New Roman"/>
                <w:sz w:val="16"/>
                <w:szCs w:val="16"/>
                <w:lang w:eastAsia="en-US" w:bidi="ar-SA"/>
              </w:rPr>
            </w:pPr>
            <w:r>
              <w:rPr>
                <w:rFonts w:eastAsia="Times New Roman"/>
                <w:sz w:val="16"/>
                <w:szCs w:val="16"/>
                <w:lang w:eastAsia="en-US" w:bidi="ar-SA"/>
              </w:rPr>
              <w:t>August (9.9)</w:t>
            </w:r>
          </w:p>
        </w:tc>
      </w:tr>
      <w:tr w:rsidR="00B30791" w:rsidRPr="001936ED" w:rsidTr="00CE22CF">
        <w:trPr>
          <w:trHeight w:val="255"/>
          <w:jc w:val="center"/>
        </w:trPr>
        <w:tc>
          <w:tcPr>
            <w:tcW w:w="2209" w:type="dxa"/>
            <w:tcBorders>
              <w:top w:val="single" w:sz="12" w:space="0" w:color="auto"/>
              <w:bottom w:val="single" w:sz="12" w:space="0" w:color="auto"/>
            </w:tcBorders>
            <w:shd w:val="clear" w:color="auto" w:fill="auto"/>
            <w:vAlign w:val="center"/>
            <w:hideMark/>
          </w:tcPr>
          <w:p w:rsidR="00B30791" w:rsidRPr="001936ED" w:rsidRDefault="00B30791" w:rsidP="000B28FF">
            <w:pPr>
              <w:bidi w:val="0"/>
              <w:rPr>
                <w:rFonts w:eastAsia="Times New Roman"/>
                <w:b/>
                <w:bCs/>
                <w:sz w:val="16"/>
                <w:szCs w:val="16"/>
                <w:lang w:eastAsia="en-US" w:bidi="ar-SA"/>
              </w:rPr>
            </w:pPr>
            <w:r w:rsidRPr="001936ED">
              <w:rPr>
                <w:rFonts w:eastAsia="Times New Roman"/>
                <w:b/>
                <w:bCs/>
                <w:sz w:val="16"/>
                <w:szCs w:val="16"/>
                <w:lang w:eastAsia="en-US" w:bidi="ar-SA"/>
              </w:rPr>
              <w:t>Network consumption</w:t>
            </w:r>
          </w:p>
        </w:tc>
        <w:tc>
          <w:tcPr>
            <w:tcW w:w="1521" w:type="dxa"/>
            <w:tcBorders>
              <w:top w:val="single" w:sz="12" w:space="0" w:color="auto"/>
              <w:bottom w:val="single" w:sz="12" w:space="0" w:color="auto"/>
            </w:tcBorders>
            <w:shd w:val="clear" w:color="auto" w:fill="auto"/>
            <w:noWrap/>
            <w:vAlign w:val="center"/>
            <w:hideMark/>
          </w:tcPr>
          <w:p w:rsidR="00B30791" w:rsidRPr="001936ED" w:rsidRDefault="00B30791" w:rsidP="00B30791">
            <w:pPr>
              <w:bidi w:val="0"/>
              <w:jc w:val="right"/>
              <w:rPr>
                <w:rFonts w:eastAsia="Times New Roman"/>
                <w:b/>
                <w:bCs/>
                <w:sz w:val="16"/>
                <w:szCs w:val="16"/>
                <w:lang w:eastAsia="en-US" w:bidi="ar-SA"/>
              </w:rPr>
            </w:pPr>
            <w:r w:rsidRPr="001936ED">
              <w:rPr>
                <w:rFonts w:eastAsia="Times New Roman"/>
                <w:b/>
                <w:bCs/>
                <w:sz w:val="16"/>
                <w:szCs w:val="16"/>
                <w:lang w:eastAsia="en-US" w:bidi="ar-SA"/>
              </w:rPr>
              <w:t>12,467</w:t>
            </w:r>
          </w:p>
        </w:tc>
        <w:tc>
          <w:tcPr>
            <w:tcW w:w="1160" w:type="dxa"/>
            <w:tcBorders>
              <w:top w:val="single" w:sz="12" w:space="0" w:color="auto"/>
              <w:bottom w:val="single" w:sz="12" w:space="0" w:color="auto"/>
            </w:tcBorders>
            <w:shd w:val="clear" w:color="auto" w:fill="auto"/>
            <w:noWrap/>
            <w:vAlign w:val="center"/>
            <w:hideMark/>
          </w:tcPr>
          <w:p w:rsidR="00B30791" w:rsidRPr="001936ED" w:rsidRDefault="00B30791" w:rsidP="00B30791">
            <w:pPr>
              <w:bidi w:val="0"/>
              <w:jc w:val="right"/>
              <w:rPr>
                <w:rFonts w:eastAsia="Times New Roman"/>
                <w:b/>
                <w:bCs/>
                <w:sz w:val="16"/>
                <w:szCs w:val="16"/>
                <w:lang w:eastAsia="en-US" w:bidi="ar-SA"/>
              </w:rPr>
            </w:pPr>
            <w:r w:rsidRPr="001936ED">
              <w:rPr>
                <w:rFonts w:eastAsia="Times New Roman"/>
                <w:b/>
                <w:bCs/>
                <w:sz w:val="16"/>
                <w:szCs w:val="16"/>
                <w:lang w:eastAsia="en-US" w:bidi="ar-SA"/>
              </w:rPr>
              <w:t>100.0</w:t>
            </w:r>
          </w:p>
        </w:tc>
        <w:tc>
          <w:tcPr>
            <w:tcW w:w="2511" w:type="dxa"/>
            <w:tcBorders>
              <w:top w:val="single" w:sz="12" w:space="0" w:color="auto"/>
              <w:bottom w:val="single" w:sz="12" w:space="0" w:color="auto"/>
            </w:tcBorders>
            <w:shd w:val="clear" w:color="auto" w:fill="auto"/>
            <w:noWrap/>
            <w:vAlign w:val="center"/>
            <w:hideMark/>
          </w:tcPr>
          <w:p w:rsidR="00B30791" w:rsidRPr="001936ED" w:rsidRDefault="00B30791" w:rsidP="00B30791">
            <w:pPr>
              <w:bidi w:val="0"/>
              <w:jc w:val="right"/>
              <w:rPr>
                <w:rFonts w:eastAsia="Times New Roman"/>
                <w:b/>
                <w:bCs/>
                <w:sz w:val="16"/>
                <w:szCs w:val="16"/>
                <w:lang w:eastAsia="en-US" w:bidi="ar-SA"/>
              </w:rPr>
            </w:pPr>
            <w:r w:rsidRPr="001936ED">
              <w:rPr>
                <w:rFonts w:eastAsia="Times New Roman"/>
                <w:b/>
                <w:bCs/>
                <w:sz w:val="16"/>
                <w:szCs w:val="16"/>
                <w:lang w:eastAsia="en-US" w:bidi="ar-SA"/>
              </w:rPr>
              <w:t>July (1,177)</w:t>
            </w:r>
          </w:p>
        </w:tc>
        <w:tc>
          <w:tcPr>
            <w:tcW w:w="2327" w:type="dxa"/>
            <w:tcBorders>
              <w:top w:val="single" w:sz="12" w:space="0" w:color="auto"/>
              <w:bottom w:val="single" w:sz="12" w:space="0" w:color="auto"/>
            </w:tcBorders>
            <w:shd w:val="clear" w:color="auto" w:fill="auto"/>
            <w:noWrap/>
            <w:vAlign w:val="center"/>
            <w:hideMark/>
          </w:tcPr>
          <w:p w:rsidR="00B30791" w:rsidRPr="001936ED" w:rsidRDefault="00B30791" w:rsidP="00B30791">
            <w:pPr>
              <w:bidi w:val="0"/>
              <w:jc w:val="right"/>
              <w:rPr>
                <w:rFonts w:eastAsia="Times New Roman"/>
                <w:b/>
                <w:bCs/>
                <w:sz w:val="16"/>
                <w:szCs w:val="16"/>
                <w:lang w:eastAsia="en-US" w:bidi="ar-SA"/>
              </w:rPr>
            </w:pPr>
            <w:r w:rsidRPr="001936ED">
              <w:rPr>
                <w:rFonts w:eastAsia="Times New Roman"/>
                <w:b/>
                <w:bCs/>
                <w:sz w:val="16"/>
                <w:szCs w:val="16"/>
                <w:lang w:eastAsia="en-US" w:bidi="ar-SA"/>
              </w:rPr>
              <w:t>July ( 9.4)</w:t>
            </w:r>
          </w:p>
        </w:tc>
      </w:tr>
      <w:tr w:rsidR="0061688C" w:rsidRPr="001936ED" w:rsidTr="00CE22CF">
        <w:trPr>
          <w:trHeight w:val="255"/>
          <w:jc w:val="center"/>
        </w:trPr>
        <w:tc>
          <w:tcPr>
            <w:tcW w:w="2209" w:type="dxa"/>
            <w:tcBorders>
              <w:top w:val="single" w:sz="12" w:space="0" w:color="auto"/>
              <w:bottom w:val="dotted" w:sz="4" w:space="0" w:color="auto"/>
            </w:tcBorders>
            <w:shd w:val="clear" w:color="auto" w:fill="auto"/>
            <w:vAlign w:val="center"/>
            <w:hideMark/>
          </w:tcPr>
          <w:p w:rsidR="0061688C" w:rsidRPr="001936ED" w:rsidRDefault="0061688C" w:rsidP="000B28FF">
            <w:pPr>
              <w:bidi w:val="0"/>
              <w:rPr>
                <w:rFonts w:eastAsia="Times New Roman"/>
                <w:sz w:val="16"/>
                <w:szCs w:val="16"/>
                <w:lang w:eastAsia="en-US" w:bidi="ar-SA"/>
              </w:rPr>
            </w:pPr>
            <w:r w:rsidRPr="001936ED">
              <w:rPr>
                <w:rFonts w:eastAsia="Times New Roman"/>
                <w:sz w:val="16"/>
                <w:szCs w:val="16"/>
                <w:lang w:eastAsia="en-US" w:bidi="ar-SA"/>
              </w:rPr>
              <w:t>Mixed</w:t>
            </w:r>
          </w:p>
        </w:tc>
        <w:tc>
          <w:tcPr>
            <w:tcW w:w="1521" w:type="dxa"/>
            <w:tcBorders>
              <w:top w:val="single" w:sz="12" w:space="0" w:color="auto"/>
              <w:bottom w:val="dotted" w:sz="4" w:space="0" w:color="auto"/>
            </w:tcBorders>
            <w:shd w:val="clear" w:color="auto" w:fill="auto"/>
            <w:noWrap/>
            <w:vAlign w:val="center"/>
            <w:hideMark/>
          </w:tcPr>
          <w:p w:rsidR="0061688C" w:rsidRPr="001936ED" w:rsidRDefault="0061688C" w:rsidP="000B28FF">
            <w:pPr>
              <w:bidi w:val="0"/>
              <w:jc w:val="right"/>
              <w:rPr>
                <w:rFonts w:eastAsia="Times New Roman"/>
                <w:sz w:val="16"/>
                <w:szCs w:val="16"/>
                <w:lang w:eastAsia="en-US" w:bidi="ar-SA"/>
              </w:rPr>
            </w:pPr>
            <w:r>
              <w:rPr>
                <w:rFonts w:eastAsia="Times New Roman"/>
                <w:sz w:val="16"/>
                <w:szCs w:val="16"/>
                <w:lang w:eastAsia="en-US" w:bidi="ar-SA"/>
              </w:rPr>
              <w:t>5,570</w:t>
            </w:r>
          </w:p>
        </w:tc>
        <w:tc>
          <w:tcPr>
            <w:tcW w:w="1160" w:type="dxa"/>
            <w:tcBorders>
              <w:top w:val="single" w:sz="12" w:space="0" w:color="auto"/>
              <w:bottom w:val="dotted" w:sz="4" w:space="0" w:color="auto"/>
            </w:tcBorders>
            <w:shd w:val="clear" w:color="auto" w:fill="auto"/>
            <w:noWrap/>
            <w:vAlign w:val="center"/>
            <w:hideMark/>
          </w:tcPr>
          <w:p w:rsidR="0061688C" w:rsidRDefault="0061688C" w:rsidP="0061688C">
            <w:pPr>
              <w:bidi w:val="0"/>
              <w:jc w:val="right"/>
              <w:rPr>
                <w:sz w:val="20"/>
                <w:szCs w:val="20"/>
              </w:rPr>
            </w:pPr>
            <w:r>
              <w:rPr>
                <w:sz w:val="20"/>
                <w:szCs w:val="20"/>
              </w:rPr>
              <w:t>44.7</w:t>
            </w:r>
          </w:p>
        </w:tc>
        <w:tc>
          <w:tcPr>
            <w:tcW w:w="2511" w:type="dxa"/>
            <w:tcBorders>
              <w:top w:val="single" w:sz="12" w:space="0" w:color="auto"/>
              <w:bottom w:val="dotted" w:sz="4" w:space="0" w:color="auto"/>
            </w:tcBorders>
            <w:shd w:val="clear" w:color="auto" w:fill="auto"/>
            <w:noWrap/>
            <w:vAlign w:val="center"/>
            <w:hideMark/>
          </w:tcPr>
          <w:p w:rsidR="0061688C" w:rsidRPr="001936ED" w:rsidRDefault="0061688C" w:rsidP="000B28FF">
            <w:pPr>
              <w:bidi w:val="0"/>
              <w:jc w:val="right"/>
              <w:rPr>
                <w:rFonts w:eastAsia="Times New Roman"/>
                <w:sz w:val="16"/>
                <w:szCs w:val="16"/>
                <w:lang w:eastAsia="en-US" w:bidi="ar-SA"/>
              </w:rPr>
            </w:pPr>
            <w:r>
              <w:rPr>
                <w:rFonts w:eastAsia="Times New Roman"/>
                <w:sz w:val="16"/>
                <w:szCs w:val="16"/>
                <w:lang w:eastAsia="en-US" w:bidi="ar-SA"/>
              </w:rPr>
              <w:t>July (563)</w:t>
            </w:r>
          </w:p>
        </w:tc>
        <w:tc>
          <w:tcPr>
            <w:tcW w:w="2327" w:type="dxa"/>
            <w:tcBorders>
              <w:top w:val="single" w:sz="12" w:space="0" w:color="auto"/>
              <w:bottom w:val="dotted" w:sz="4" w:space="0" w:color="auto"/>
            </w:tcBorders>
            <w:shd w:val="clear" w:color="auto" w:fill="auto"/>
            <w:noWrap/>
            <w:vAlign w:val="center"/>
            <w:hideMark/>
          </w:tcPr>
          <w:p w:rsidR="0061688C" w:rsidRPr="001936ED" w:rsidRDefault="0061688C" w:rsidP="000B28FF">
            <w:pPr>
              <w:bidi w:val="0"/>
              <w:jc w:val="right"/>
              <w:rPr>
                <w:rFonts w:eastAsia="Times New Roman"/>
                <w:sz w:val="16"/>
                <w:szCs w:val="16"/>
                <w:lang w:eastAsia="en-US" w:bidi="ar-SA"/>
              </w:rPr>
            </w:pPr>
            <w:r>
              <w:rPr>
                <w:rFonts w:eastAsia="Times New Roman"/>
                <w:sz w:val="16"/>
                <w:szCs w:val="16"/>
                <w:lang w:eastAsia="en-US" w:bidi="ar-SA"/>
              </w:rPr>
              <w:t>July (10.1)</w:t>
            </w:r>
          </w:p>
        </w:tc>
      </w:tr>
      <w:tr w:rsidR="0061688C" w:rsidRPr="001936ED" w:rsidTr="00CE22CF">
        <w:trPr>
          <w:trHeight w:val="255"/>
          <w:jc w:val="center"/>
        </w:trPr>
        <w:tc>
          <w:tcPr>
            <w:tcW w:w="2209" w:type="dxa"/>
            <w:tcBorders>
              <w:top w:val="dotted" w:sz="4" w:space="0" w:color="auto"/>
              <w:bottom w:val="dotted" w:sz="4" w:space="0" w:color="auto"/>
            </w:tcBorders>
            <w:shd w:val="clear" w:color="auto" w:fill="auto"/>
            <w:vAlign w:val="center"/>
            <w:hideMark/>
          </w:tcPr>
          <w:p w:rsidR="0061688C" w:rsidRPr="001936ED" w:rsidRDefault="0061688C" w:rsidP="000B28FF">
            <w:pPr>
              <w:bidi w:val="0"/>
              <w:rPr>
                <w:rFonts w:eastAsia="Times New Roman"/>
                <w:sz w:val="16"/>
                <w:szCs w:val="16"/>
                <w:lang w:eastAsia="en-US" w:bidi="ar-SA"/>
              </w:rPr>
            </w:pPr>
            <w:r w:rsidRPr="001936ED">
              <w:rPr>
                <w:rFonts w:eastAsia="Times New Roman"/>
                <w:sz w:val="16"/>
                <w:szCs w:val="16"/>
                <w:lang w:eastAsia="en-US" w:bidi="ar-SA"/>
              </w:rPr>
              <w:t>Steam</w:t>
            </w:r>
          </w:p>
        </w:tc>
        <w:tc>
          <w:tcPr>
            <w:tcW w:w="1521" w:type="dxa"/>
            <w:tcBorders>
              <w:top w:val="dotted" w:sz="4" w:space="0" w:color="auto"/>
              <w:bottom w:val="dotted" w:sz="4" w:space="0" w:color="auto"/>
            </w:tcBorders>
            <w:shd w:val="clear" w:color="auto" w:fill="auto"/>
            <w:noWrap/>
            <w:vAlign w:val="center"/>
            <w:hideMark/>
          </w:tcPr>
          <w:p w:rsidR="0061688C" w:rsidRPr="001936ED" w:rsidRDefault="0061688C" w:rsidP="000B28FF">
            <w:pPr>
              <w:bidi w:val="0"/>
              <w:jc w:val="right"/>
              <w:rPr>
                <w:rFonts w:eastAsia="Times New Roman"/>
                <w:sz w:val="16"/>
                <w:szCs w:val="16"/>
                <w:lang w:eastAsia="en-US" w:bidi="ar-SA"/>
              </w:rPr>
            </w:pPr>
            <w:r>
              <w:rPr>
                <w:rFonts w:eastAsia="Times New Roman"/>
                <w:sz w:val="16"/>
                <w:szCs w:val="16"/>
                <w:lang w:eastAsia="en-US" w:bidi="ar-SA"/>
              </w:rPr>
              <w:t>4,323</w:t>
            </w:r>
          </w:p>
        </w:tc>
        <w:tc>
          <w:tcPr>
            <w:tcW w:w="1160" w:type="dxa"/>
            <w:tcBorders>
              <w:top w:val="dotted" w:sz="4" w:space="0" w:color="auto"/>
              <w:bottom w:val="dotted" w:sz="4" w:space="0" w:color="auto"/>
            </w:tcBorders>
            <w:shd w:val="clear" w:color="auto" w:fill="auto"/>
            <w:noWrap/>
            <w:vAlign w:val="center"/>
            <w:hideMark/>
          </w:tcPr>
          <w:p w:rsidR="0061688C" w:rsidRDefault="0061688C" w:rsidP="0061688C">
            <w:pPr>
              <w:bidi w:val="0"/>
              <w:jc w:val="right"/>
              <w:rPr>
                <w:sz w:val="20"/>
                <w:szCs w:val="20"/>
              </w:rPr>
            </w:pPr>
            <w:r>
              <w:rPr>
                <w:sz w:val="20"/>
                <w:szCs w:val="20"/>
              </w:rPr>
              <w:t>34.7</w:t>
            </w:r>
          </w:p>
        </w:tc>
        <w:tc>
          <w:tcPr>
            <w:tcW w:w="2511" w:type="dxa"/>
            <w:tcBorders>
              <w:top w:val="dotted" w:sz="4" w:space="0" w:color="auto"/>
              <w:bottom w:val="dotted" w:sz="4" w:space="0" w:color="auto"/>
            </w:tcBorders>
            <w:shd w:val="clear" w:color="auto" w:fill="auto"/>
            <w:noWrap/>
            <w:vAlign w:val="center"/>
            <w:hideMark/>
          </w:tcPr>
          <w:p w:rsidR="0061688C" w:rsidRPr="001936ED" w:rsidRDefault="0061688C" w:rsidP="008755AF">
            <w:pPr>
              <w:bidi w:val="0"/>
              <w:jc w:val="right"/>
              <w:rPr>
                <w:rFonts w:eastAsia="Times New Roman"/>
                <w:sz w:val="16"/>
                <w:szCs w:val="16"/>
                <w:lang w:eastAsia="en-US" w:bidi="ar-SA"/>
              </w:rPr>
            </w:pPr>
            <w:r>
              <w:rPr>
                <w:rFonts w:eastAsia="Times New Roman"/>
                <w:sz w:val="16"/>
                <w:szCs w:val="16"/>
                <w:lang w:eastAsia="en-US" w:bidi="ar-SA"/>
              </w:rPr>
              <w:t>August (452)</w:t>
            </w:r>
          </w:p>
        </w:tc>
        <w:tc>
          <w:tcPr>
            <w:tcW w:w="2327" w:type="dxa"/>
            <w:tcBorders>
              <w:top w:val="dotted" w:sz="4" w:space="0" w:color="auto"/>
              <w:bottom w:val="dotted" w:sz="4" w:space="0" w:color="auto"/>
            </w:tcBorders>
            <w:shd w:val="clear" w:color="auto" w:fill="auto"/>
            <w:noWrap/>
            <w:vAlign w:val="center"/>
            <w:hideMark/>
          </w:tcPr>
          <w:p w:rsidR="0061688C" w:rsidRPr="001936ED" w:rsidRDefault="0061688C" w:rsidP="008755AF">
            <w:pPr>
              <w:bidi w:val="0"/>
              <w:jc w:val="right"/>
              <w:rPr>
                <w:rFonts w:eastAsia="Times New Roman"/>
                <w:sz w:val="16"/>
                <w:szCs w:val="16"/>
                <w:lang w:eastAsia="en-US" w:bidi="ar-SA"/>
              </w:rPr>
            </w:pPr>
            <w:r>
              <w:rPr>
                <w:rFonts w:eastAsia="Times New Roman"/>
                <w:sz w:val="16"/>
                <w:szCs w:val="16"/>
                <w:lang w:eastAsia="en-US" w:bidi="ar-SA"/>
              </w:rPr>
              <w:t>August (10.5)</w:t>
            </w:r>
          </w:p>
        </w:tc>
      </w:tr>
      <w:tr w:rsidR="0061688C" w:rsidRPr="001936ED" w:rsidTr="00CE22CF">
        <w:trPr>
          <w:trHeight w:val="255"/>
          <w:jc w:val="center"/>
        </w:trPr>
        <w:tc>
          <w:tcPr>
            <w:tcW w:w="2209" w:type="dxa"/>
            <w:tcBorders>
              <w:top w:val="dotted" w:sz="4" w:space="0" w:color="auto"/>
              <w:bottom w:val="dotted" w:sz="4" w:space="0" w:color="auto"/>
            </w:tcBorders>
            <w:shd w:val="clear" w:color="auto" w:fill="auto"/>
            <w:vAlign w:val="center"/>
            <w:hideMark/>
          </w:tcPr>
          <w:p w:rsidR="0061688C" w:rsidRPr="001936ED" w:rsidRDefault="0061688C" w:rsidP="000B28FF">
            <w:pPr>
              <w:bidi w:val="0"/>
              <w:rPr>
                <w:rFonts w:eastAsia="Times New Roman"/>
                <w:sz w:val="16"/>
                <w:szCs w:val="16"/>
                <w:lang w:eastAsia="en-US" w:bidi="ar-SA"/>
              </w:rPr>
            </w:pPr>
            <w:r w:rsidRPr="001936ED">
              <w:rPr>
                <w:rFonts w:eastAsia="Times New Roman"/>
                <w:sz w:val="16"/>
                <w:szCs w:val="16"/>
                <w:lang w:eastAsia="en-US" w:bidi="ar-SA"/>
              </w:rPr>
              <w:t>From Syria</w:t>
            </w:r>
          </w:p>
        </w:tc>
        <w:tc>
          <w:tcPr>
            <w:tcW w:w="1521" w:type="dxa"/>
            <w:tcBorders>
              <w:top w:val="dotted" w:sz="4" w:space="0" w:color="auto"/>
              <w:bottom w:val="dotted" w:sz="4" w:space="0" w:color="auto"/>
            </w:tcBorders>
            <w:shd w:val="clear" w:color="auto" w:fill="auto"/>
            <w:noWrap/>
            <w:vAlign w:val="center"/>
            <w:hideMark/>
          </w:tcPr>
          <w:p w:rsidR="0061688C" w:rsidRPr="001936ED" w:rsidRDefault="0061688C" w:rsidP="000B28FF">
            <w:pPr>
              <w:bidi w:val="0"/>
              <w:jc w:val="right"/>
              <w:rPr>
                <w:rFonts w:eastAsia="Times New Roman"/>
                <w:sz w:val="16"/>
                <w:szCs w:val="16"/>
                <w:lang w:eastAsia="en-US" w:bidi="ar-SA"/>
              </w:rPr>
            </w:pPr>
            <w:r>
              <w:rPr>
                <w:rFonts w:eastAsia="Times New Roman"/>
                <w:sz w:val="16"/>
                <w:szCs w:val="16"/>
                <w:lang w:eastAsia="en-US" w:bidi="ar-SA"/>
              </w:rPr>
              <w:t>791</w:t>
            </w:r>
          </w:p>
        </w:tc>
        <w:tc>
          <w:tcPr>
            <w:tcW w:w="1160" w:type="dxa"/>
            <w:tcBorders>
              <w:top w:val="dotted" w:sz="4" w:space="0" w:color="auto"/>
              <w:bottom w:val="dotted" w:sz="4" w:space="0" w:color="auto"/>
            </w:tcBorders>
            <w:shd w:val="clear" w:color="auto" w:fill="auto"/>
            <w:noWrap/>
            <w:vAlign w:val="center"/>
            <w:hideMark/>
          </w:tcPr>
          <w:p w:rsidR="0061688C" w:rsidRDefault="0061688C" w:rsidP="0061688C">
            <w:pPr>
              <w:bidi w:val="0"/>
              <w:jc w:val="right"/>
              <w:rPr>
                <w:sz w:val="20"/>
                <w:szCs w:val="20"/>
              </w:rPr>
            </w:pPr>
            <w:r>
              <w:rPr>
                <w:sz w:val="20"/>
                <w:szCs w:val="20"/>
              </w:rPr>
              <w:t>6.3</w:t>
            </w:r>
          </w:p>
        </w:tc>
        <w:tc>
          <w:tcPr>
            <w:tcW w:w="2511" w:type="dxa"/>
            <w:tcBorders>
              <w:top w:val="dotted" w:sz="4" w:space="0" w:color="auto"/>
              <w:bottom w:val="dotted" w:sz="4" w:space="0" w:color="auto"/>
            </w:tcBorders>
            <w:shd w:val="clear" w:color="auto" w:fill="auto"/>
            <w:noWrap/>
            <w:vAlign w:val="center"/>
            <w:hideMark/>
          </w:tcPr>
          <w:p w:rsidR="0061688C" w:rsidRPr="001936ED" w:rsidRDefault="00271AC5" w:rsidP="000B28FF">
            <w:pPr>
              <w:bidi w:val="0"/>
              <w:jc w:val="right"/>
              <w:rPr>
                <w:rFonts w:eastAsia="Times New Roman"/>
                <w:sz w:val="16"/>
                <w:szCs w:val="16"/>
                <w:lang w:eastAsia="en-US" w:bidi="ar-SA"/>
              </w:rPr>
            </w:pPr>
            <w:r>
              <w:rPr>
                <w:rFonts w:eastAsia="Times New Roman"/>
                <w:sz w:val="16"/>
                <w:szCs w:val="16"/>
                <w:lang w:eastAsia="en-US" w:bidi="ar-SA"/>
              </w:rPr>
              <w:t>October (97)</w:t>
            </w:r>
          </w:p>
        </w:tc>
        <w:tc>
          <w:tcPr>
            <w:tcW w:w="2327" w:type="dxa"/>
            <w:tcBorders>
              <w:top w:val="dotted" w:sz="4" w:space="0" w:color="auto"/>
              <w:bottom w:val="dotted" w:sz="4" w:space="0" w:color="auto"/>
            </w:tcBorders>
            <w:shd w:val="clear" w:color="auto" w:fill="auto"/>
            <w:noWrap/>
            <w:vAlign w:val="center"/>
            <w:hideMark/>
          </w:tcPr>
          <w:p w:rsidR="0061688C" w:rsidRPr="001936ED" w:rsidRDefault="00271AC5" w:rsidP="000B28FF">
            <w:pPr>
              <w:bidi w:val="0"/>
              <w:jc w:val="right"/>
              <w:rPr>
                <w:rFonts w:eastAsia="Times New Roman"/>
                <w:sz w:val="16"/>
                <w:szCs w:val="16"/>
                <w:lang w:eastAsia="en-US" w:bidi="ar-SA"/>
              </w:rPr>
            </w:pPr>
            <w:r>
              <w:rPr>
                <w:rFonts w:eastAsia="Times New Roman"/>
                <w:sz w:val="16"/>
                <w:szCs w:val="16"/>
                <w:lang w:eastAsia="en-US" w:bidi="ar-SA"/>
              </w:rPr>
              <w:t>October (12.3)</w:t>
            </w:r>
          </w:p>
        </w:tc>
      </w:tr>
      <w:tr w:rsidR="0061688C" w:rsidRPr="001936ED" w:rsidTr="00CE22CF">
        <w:trPr>
          <w:trHeight w:val="255"/>
          <w:jc w:val="center"/>
        </w:trPr>
        <w:tc>
          <w:tcPr>
            <w:tcW w:w="2209" w:type="dxa"/>
            <w:tcBorders>
              <w:top w:val="dotted" w:sz="4" w:space="0" w:color="auto"/>
              <w:bottom w:val="dotted" w:sz="4" w:space="0" w:color="auto"/>
            </w:tcBorders>
            <w:shd w:val="clear" w:color="auto" w:fill="auto"/>
            <w:vAlign w:val="center"/>
            <w:hideMark/>
          </w:tcPr>
          <w:p w:rsidR="0061688C" w:rsidRPr="001936ED" w:rsidRDefault="0061688C" w:rsidP="0061688C">
            <w:pPr>
              <w:bidi w:val="0"/>
              <w:rPr>
                <w:rFonts w:eastAsia="Times New Roman"/>
                <w:sz w:val="16"/>
                <w:szCs w:val="16"/>
                <w:lang w:eastAsia="en-US" w:bidi="ar-SA"/>
              </w:rPr>
            </w:pPr>
            <w:r w:rsidRPr="001936ED">
              <w:rPr>
                <w:rFonts w:eastAsia="Times New Roman"/>
                <w:sz w:val="16"/>
                <w:szCs w:val="16"/>
                <w:lang w:eastAsia="en-US" w:bidi="ar-SA"/>
              </w:rPr>
              <w:t>Gas</w:t>
            </w:r>
          </w:p>
        </w:tc>
        <w:tc>
          <w:tcPr>
            <w:tcW w:w="1521" w:type="dxa"/>
            <w:tcBorders>
              <w:top w:val="dotted" w:sz="4" w:space="0" w:color="auto"/>
              <w:bottom w:val="dotted" w:sz="4" w:space="0" w:color="auto"/>
            </w:tcBorders>
            <w:shd w:val="clear" w:color="auto" w:fill="auto"/>
            <w:noWrap/>
            <w:vAlign w:val="center"/>
            <w:hideMark/>
          </w:tcPr>
          <w:p w:rsidR="0061688C" w:rsidRPr="001936ED" w:rsidRDefault="0061688C" w:rsidP="000B28FF">
            <w:pPr>
              <w:bidi w:val="0"/>
              <w:jc w:val="right"/>
              <w:rPr>
                <w:rFonts w:eastAsia="Times New Roman"/>
                <w:sz w:val="16"/>
                <w:szCs w:val="16"/>
                <w:lang w:eastAsia="en-US" w:bidi="ar-SA"/>
              </w:rPr>
            </w:pPr>
            <w:r>
              <w:rPr>
                <w:rFonts w:eastAsia="Times New Roman"/>
                <w:sz w:val="16"/>
                <w:szCs w:val="16"/>
                <w:lang w:eastAsia="en-US" w:bidi="ar-SA"/>
              </w:rPr>
              <w:t>485</w:t>
            </w:r>
          </w:p>
        </w:tc>
        <w:tc>
          <w:tcPr>
            <w:tcW w:w="1160" w:type="dxa"/>
            <w:tcBorders>
              <w:top w:val="dotted" w:sz="4" w:space="0" w:color="auto"/>
              <w:bottom w:val="dotted" w:sz="4" w:space="0" w:color="auto"/>
            </w:tcBorders>
            <w:shd w:val="clear" w:color="auto" w:fill="auto"/>
            <w:noWrap/>
            <w:vAlign w:val="center"/>
            <w:hideMark/>
          </w:tcPr>
          <w:p w:rsidR="0061688C" w:rsidRDefault="0061688C" w:rsidP="0061688C">
            <w:pPr>
              <w:bidi w:val="0"/>
              <w:jc w:val="right"/>
              <w:rPr>
                <w:sz w:val="20"/>
                <w:szCs w:val="20"/>
              </w:rPr>
            </w:pPr>
            <w:r>
              <w:rPr>
                <w:sz w:val="20"/>
                <w:szCs w:val="20"/>
              </w:rPr>
              <w:t>3.9</w:t>
            </w:r>
          </w:p>
        </w:tc>
        <w:tc>
          <w:tcPr>
            <w:tcW w:w="2511" w:type="dxa"/>
            <w:tcBorders>
              <w:top w:val="dotted" w:sz="4" w:space="0" w:color="auto"/>
              <w:bottom w:val="dotted" w:sz="4" w:space="0" w:color="auto"/>
            </w:tcBorders>
            <w:shd w:val="clear" w:color="auto" w:fill="auto"/>
            <w:noWrap/>
            <w:vAlign w:val="center"/>
            <w:hideMark/>
          </w:tcPr>
          <w:p w:rsidR="0061688C" w:rsidRPr="001936ED" w:rsidRDefault="00271AC5" w:rsidP="000B28FF">
            <w:pPr>
              <w:bidi w:val="0"/>
              <w:jc w:val="right"/>
              <w:rPr>
                <w:rFonts w:eastAsia="Times New Roman"/>
                <w:sz w:val="16"/>
                <w:szCs w:val="16"/>
                <w:lang w:eastAsia="en-US" w:bidi="ar-SA"/>
              </w:rPr>
            </w:pPr>
            <w:r>
              <w:rPr>
                <w:rFonts w:eastAsia="Times New Roman"/>
                <w:sz w:val="16"/>
                <w:szCs w:val="16"/>
                <w:lang w:eastAsia="en-US" w:bidi="ar-SA"/>
              </w:rPr>
              <w:t>August (82)</w:t>
            </w:r>
          </w:p>
        </w:tc>
        <w:tc>
          <w:tcPr>
            <w:tcW w:w="2327" w:type="dxa"/>
            <w:tcBorders>
              <w:top w:val="dotted" w:sz="4" w:space="0" w:color="auto"/>
              <w:bottom w:val="dotted" w:sz="4" w:space="0" w:color="auto"/>
            </w:tcBorders>
            <w:shd w:val="clear" w:color="auto" w:fill="auto"/>
            <w:noWrap/>
            <w:vAlign w:val="center"/>
            <w:hideMark/>
          </w:tcPr>
          <w:p w:rsidR="0061688C" w:rsidRPr="001936ED" w:rsidRDefault="00271AC5" w:rsidP="000B28FF">
            <w:pPr>
              <w:bidi w:val="0"/>
              <w:jc w:val="right"/>
              <w:rPr>
                <w:rFonts w:eastAsia="Times New Roman"/>
                <w:sz w:val="16"/>
                <w:szCs w:val="16"/>
                <w:lang w:eastAsia="en-US" w:bidi="ar-SA"/>
              </w:rPr>
            </w:pPr>
            <w:r>
              <w:rPr>
                <w:rFonts w:eastAsia="Times New Roman"/>
                <w:sz w:val="16"/>
                <w:szCs w:val="16"/>
                <w:lang w:eastAsia="en-US" w:bidi="ar-SA"/>
              </w:rPr>
              <w:t>August</w:t>
            </w:r>
            <w:r w:rsidR="00916639">
              <w:rPr>
                <w:rFonts w:eastAsia="Times New Roman"/>
                <w:sz w:val="16"/>
                <w:szCs w:val="16"/>
                <w:lang w:eastAsia="en-US" w:bidi="ar-SA"/>
              </w:rPr>
              <w:t xml:space="preserve"> (16.9)</w:t>
            </w:r>
          </w:p>
        </w:tc>
      </w:tr>
      <w:tr w:rsidR="0061688C" w:rsidRPr="001936ED" w:rsidTr="00CE22CF">
        <w:trPr>
          <w:trHeight w:val="255"/>
          <w:jc w:val="center"/>
        </w:trPr>
        <w:tc>
          <w:tcPr>
            <w:tcW w:w="2209" w:type="dxa"/>
            <w:tcBorders>
              <w:top w:val="dotted" w:sz="4" w:space="0" w:color="auto"/>
              <w:bottom w:val="single" w:sz="12" w:space="0" w:color="auto"/>
            </w:tcBorders>
            <w:shd w:val="clear" w:color="auto" w:fill="auto"/>
            <w:vAlign w:val="center"/>
            <w:hideMark/>
          </w:tcPr>
          <w:p w:rsidR="0061688C" w:rsidRPr="001936ED" w:rsidRDefault="0061688C" w:rsidP="000B28FF">
            <w:pPr>
              <w:bidi w:val="0"/>
              <w:rPr>
                <w:rFonts w:eastAsia="Times New Roman"/>
                <w:sz w:val="16"/>
                <w:szCs w:val="16"/>
                <w:lang w:eastAsia="en-US" w:bidi="ar-SA"/>
              </w:rPr>
            </w:pPr>
            <w:r w:rsidRPr="001936ED">
              <w:rPr>
                <w:rFonts w:eastAsia="Times New Roman"/>
                <w:sz w:val="16"/>
                <w:szCs w:val="16"/>
                <w:lang w:eastAsia="en-US" w:bidi="ar-SA"/>
              </w:rPr>
              <w:t>From Egypt</w:t>
            </w:r>
          </w:p>
        </w:tc>
        <w:tc>
          <w:tcPr>
            <w:tcW w:w="1521" w:type="dxa"/>
            <w:tcBorders>
              <w:top w:val="dotted" w:sz="4" w:space="0" w:color="auto"/>
              <w:bottom w:val="single" w:sz="12" w:space="0" w:color="auto"/>
            </w:tcBorders>
            <w:shd w:val="clear" w:color="auto" w:fill="auto"/>
            <w:noWrap/>
            <w:vAlign w:val="center"/>
            <w:hideMark/>
          </w:tcPr>
          <w:p w:rsidR="0061688C" w:rsidRPr="001936ED" w:rsidRDefault="0061688C" w:rsidP="000B28FF">
            <w:pPr>
              <w:bidi w:val="0"/>
              <w:jc w:val="right"/>
              <w:rPr>
                <w:rFonts w:eastAsia="Times New Roman"/>
                <w:sz w:val="16"/>
                <w:szCs w:val="16"/>
                <w:lang w:eastAsia="en-US" w:bidi="ar-SA"/>
              </w:rPr>
            </w:pPr>
            <w:r>
              <w:rPr>
                <w:rFonts w:eastAsia="Times New Roman"/>
                <w:sz w:val="16"/>
                <w:szCs w:val="16"/>
                <w:lang w:eastAsia="en-US" w:bidi="ar-SA"/>
              </w:rPr>
              <w:t>448</w:t>
            </w:r>
          </w:p>
        </w:tc>
        <w:tc>
          <w:tcPr>
            <w:tcW w:w="1160" w:type="dxa"/>
            <w:tcBorders>
              <w:top w:val="dotted" w:sz="4" w:space="0" w:color="auto"/>
              <w:bottom w:val="single" w:sz="12" w:space="0" w:color="auto"/>
            </w:tcBorders>
            <w:shd w:val="clear" w:color="auto" w:fill="auto"/>
            <w:noWrap/>
            <w:vAlign w:val="center"/>
            <w:hideMark/>
          </w:tcPr>
          <w:p w:rsidR="0061688C" w:rsidRDefault="0061688C" w:rsidP="0061688C">
            <w:pPr>
              <w:bidi w:val="0"/>
              <w:jc w:val="right"/>
              <w:rPr>
                <w:sz w:val="20"/>
                <w:szCs w:val="20"/>
              </w:rPr>
            </w:pPr>
            <w:r>
              <w:rPr>
                <w:sz w:val="20"/>
                <w:szCs w:val="20"/>
              </w:rPr>
              <w:t>3.6</w:t>
            </w:r>
          </w:p>
        </w:tc>
        <w:tc>
          <w:tcPr>
            <w:tcW w:w="2511" w:type="dxa"/>
            <w:tcBorders>
              <w:top w:val="dotted" w:sz="4" w:space="0" w:color="auto"/>
              <w:bottom w:val="single" w:sz="12" w:space="0" w:color="auto"/>
            </w:tcBorders>
            <w:shd w:val="clear" w:color="auto" w:fill="auto"/>
            <w:noWrap/>
            <w:vAlign w:val="center"/>
            <w:hideMark/>
          </w:tcPr>
          <w:p w:rsidR="0061688C" w:rsidRPr="001936ED" w:rsidRDefault="00C4405F" w:rsidP="000B28FF">
            <w:pPr>
              <w:bidi w:val="0"/>
              <w:jc w:val="right"/>
              <w:rPr>
                <w:rFonts w:eastAsia="Times New Roman"/>
                <w:sz w:val="16"/>
                <w:szCs w:val="16"/>
                <w:lang w:eastAsia="en-US" w:bidi="ar-SA"/>
              </w:rPr>
            </w:pPr>
            <w:r>
              <w:rPr>
                <w:rFonts w:eastAsia="Times New Roman"/>
                <w:sz w:val="16"/>
                <w:szCs w:val="16"/>
                <w:lang w:eastAsia="en-US" w:bidi="ar-SA"/>
              </w:rPr>
              <w:t>November (65)</w:t>
            </w:r>
          </w:p>
        </w:tc>
        <w:tc>
          <w:tcPr>
            <w:tcW w:w="2327" w:type="dxa"/>
            <w:tcBorders>
              <w:top w:val="dotted" w:sz="4" w:space="0" w:color="auto"/>
              <w:bottom w:val="single" w:sz="12" w:space="0" w:color="auto"/>
            </w:tcBorders>
            <w:shd w:val="clear" w:color="auto" w:fill="auto"/>
            <w:noWrap/>
            <w:vAlign w:val="center"/>
            <w:hideMark/>
          </w:tcPr>
          <w:p w:rsidR="0061688C" w:rsidRPr="001936ED" w:rsidRDefault="00C4405F" w:rsidP="000B28FF">
            <w:pPr>
              <w:bidi w:val="0"/>
              <w:jc w:val="right"/>
              <w:rPr>
                <w:rFonts w:eastAsia="Times New Roman"/>
                <w:sz w:val="16"/>
                <w:szCs w:val="16"/>
                <w:lang w:eastAsia="en-US" w:bidi="ar-SA"/>
              </w:rPr>
            </w:pPr>
            <w:r>
              <w:rPr>
                <w:rFonts w:eastAsia="Times New Roman"/>
                <w:sz w:val="16"/>
                <w:szCs w:val="16"/>
                <w:lang w:eastAsia="en-US" w:bidi="ar-SA"/>
              </w:rPr>
              <w:t>November (14.5)</w:t>
            </w:r>
          </w:p>
        </w:tc>
      </w:tr>
    </w:tbl>
    <w:p w:rsidR="00B06B61" w:rsidRDefault="00B06B61" w:rsidP="0073143C">
      <w:pPr>
        <w:bidi w:val="0"/>
        <w:jc w:val="center"/>
        <w:rPr>
          <w:rFonts w:eastAsia="Times New Roman"/>
          <w:noProof/>
          <w:sz w:val="20"/>
          <w:szCs w:val="20"/>
        </w:rPr>
      </w:pPr>
      <w:r w:rsidRPr="00FF61F1">
        <w:rPr>
          <w:i/>
          <w:iCs/>
          <w:sz w:val="18"/>
          <w:szCs w:val="18"/>
        </w:rPr>
        <w:t xml:space="preserve">Table made by CAS based on </w:t>
      </w:r>
      <w:r w:rsidRPr="00FF61F1">
        <w:rPr>
          <w:rFonts w:eastAsia="Times New Roman"/>
          <w:i/>
          <w:iCs/>
          <w:noProof/>
          <w:sz w:val="20"/>
          <w:szCs w:val="20"/>
        </w:rPr>
        <w:t>Electricité du Liban data (</w:t>
      </w:r>
      <w:r w:rsidR="0073143C">
        <w:rPr>
          <w:rFonts w:eastAsia="Times New Roman"/>
          <w:i/>
          <w:iCs/>
          <w:noProof/>
          <w:sz w:val="20"/>
          <w:szCs w:val="20"/>
        </w:rPr>
        <w:t>2010</w:t>
      </w:r>
      <w:r w:rsidRPr="00FF61F1">
        <w:rPr>
          <w:rFonts w:eastAsia="Times New Roman"/>
          <w:i/>
          <w:iCs/>
          <w:noProof/>
          <w:sz w:val="20"/>
          <w:szCs w:val="20"/>
        </w:rPr>
        <w:t>)</w:t>
      </w:r>
    </w:p>
    <w:p w:rsidR="000B28FF" w:rsidRDefault="000B28FF" w:rsidP="00CE22CF">
      <w:pPr>
        <w:bidi w:val="0"/>
        <w:jc w:val="both"/>
        <w:rPr>
          <w:sz w:val="22"/>
          <w:szCs w:val="22"/>
        </w:rPr>
      </w:pPr>
    </w:p>
    <w:p w:rsidR="00CE22CF" w:rsidRDefault="00513DC9" w:rsidP="0071786D">
      <w:pPr>
        <w:bidi w:val="0"/>
        <w:jc w:val="both"/>
        <w:rPr>
          <w:sz w:val="22"/>
          <w:szCs w:val="22"/>
        </w:rPr>
      </w:pPr>
      <w:r w:rsidRPr="00B61D2F">
        <w:rPr>
          <w:sz w:val="22"/>
          <w:szCs w:val="22"/>
        </w:rPr>
        <w:lastRenderedPageBreak/>
        <w:t xml:space="preserve">EDL power stations produced </w:t>
      </w:r>
      <w:r w:rsidR="0071786D">
        <w:rPr>
          <w:sz w:val="22"/>
          <w:szCs w:val="22"/>
        </w:rPr>
        <w:t>12</w:t>
      </w:r>
      <w:r w:rsidRPr="00B61D2F">
        <w:rPr>
          <w:sz w:val="22"/>
          <w:szCs w:val="22"/>
        </w:rPr>
        <w:t>,</w:t>
      </w:r>
      <w:r w:rsidR="0071786D">
        <w:rPr>
          <w:sz w:val="22"/>
          <w:szCs w:val="22"/>
        </w:rPr>
        <w:t>459</w:t>
      </w:r>
      <w:r w:rsidRPr="00B61D2F">
        <w:rPr>
          <w:sz w:val="22"/>
          <w:szCs w:val="22"/>
        </w:rPr>
        <w:t xml:space="preserve"> million KWh</w:t>
      </w:r>
      <w:r w:rsidR="00CE22CF">
        <w:rPr>
          <w:sz w:val="22"/>
          <w:szCs w:val="22"/>
        </w:rPr>
        <w:t>:</w:t>
      </w:r>
    </w:p>
    <w:p w:rsidR="00CE22CF" w:rsidRDefault="00CE22CF" w:rsidP="0071786D">
      <w:pPr>
        <w:pStyle w:val="ListParagraph"/>
        <w:numPr>
          <w:ilvl w:val="0"/>
          <w:numId w:val="5"/>
        </w:numPr>
        <w:spacing w:line="240" w:lineRule="auto"/>
        <w:jc w:val="both"/>
        <w:rPr>
          <w:rFonts w:asciiTheme="majorBidi" w:hAnsiTheme="majorBidi" w:cstheme="majorBidi"/>
        </w:rPr>
      </w:pPr>
      <w:r>
        <w:rPr>
          <w:rFonts w:asciiTheme="majorBidi" w:hAnsiTheme="majorBidi" w:cstheme="majorBidi"/>
        </w:rPr>
        <w:t>Thermal energy:</w:t>
      </w:r>
      <w:r w:rsidR="00513DC9" w:rsidRPr="00CE22CF">
        <w:rPr>
          <w:rFonts w:asciiTheme="majorBidi" w:hAnsiTheme="majorBidi" w:cstheme="majorBidi"/>
        </w:rPr>
        <w:t xml:space="preserve"> </w:t>
      </w:r>
      <w:r w:rsidR="00B61D2F" w:rsidRPr="00CE22CF">
        <w:rPr>
          <w:rFonts w:asciiTheme="majorBidi" w:hAnsiTheme="majorBidi" w:cstheme="majorBidi"/>
        </w:rPr>
        <w:t>8</w:t>
      </w:r>
      <w:r w:rsidR="0071786D">
        <w:rPr>
          <w:rFonts w:asciiTheme="majorBidi" w:hAnsiTheme="majorBidi" w:cstheme="majorBidi"/>
        </w:rPr>
        <w:t>3</w:t>
      </w:r>
      <w:r w:rsidR="00B61D2F" w:rsidRPr="00CE22CF">
        <w:rPr>
          <w:rFonts w:asciiTheme="majorBidi" w:hAnsiTheme="majorBidi" w:cstheme="majorBidi"/>
        </w:rPr>
        <w:t>.</w:t>
      </w:r>
      <w:r w:rsidR="0071786D">
        <w:rPr>
          <w:rFonts w:asciiTheme="majorBidi" w:hAnsiTheme="majorBidi" w:cstheme="majorBidi"/>
        </w:rPr>
        <w:t>3</w:t>
      </w:r>
      <w:r w:rsidR="00B61D2F" w:rsidRPr="00CE22CF">
        <w:rPr>
          <w:rFonts w:asciiTheme="majorBidi" w:hAnsiTheme="majorBidi" w:cstheme="majorBidi"/>
        </w:rPr>
        <w:t>%</w:t>
      </w:r>
      <w:r w:rsidR="00DE5D02">
        <w:rPr>
          <w:rFonts w:asciiTheme="majorBidi" w:hAnsiTheme="majorBidi" w:cstheme="majorBidi"/>
        </w:rPr>
        <w:t>.</w:t>
      </w:r>
    </w:p>
    <w:p w:rsidR="00CE22CF" w:rsidRDefault="00B61D2F" w:rsidP="0071786D">
      <w:pPr>
        <w:pStyle w:val="ListParagraph"/>
        <w:numPr>
          <w:ilvl w:val="0"/>
          <w:numId w:val="5"/>
        </w:numPr>
        <w:spacing w:line="240" w:lineRule="auto"/>
        <w:jc w:val="both"/>
        <w:rPr>
          <w:rFonts w:asciiTheme="majorBidi" w:hAnsiTheme="majorBidi" w:cstheme="majorBidi"/>
        </w:rPr>
      </w:pPr>
      <w:r w:rsidRPr="00CE22CF">
        <w:rPr>
          <w:rFonts w:asciiTheme="majorBidi" w:hAnsiTheme="majorBidi" w:cstheme="majorBidi"/>
        </w:rPr>
        <w:t xml:space="preserve"> </w:t>
      </w:r>
      <w:r w:rsidR="00CE22CF">
        <w:rPr>
          <w:rFonts w:asciiTheme="majorBidi" w:hAnsiTheme="majorBidi" w:cstheme="majorBidi"/>
          <w:noProof/>
        </w:rPr>
        <w:t>H</w:t>
      </w:r>
      <w:r w:rsidR="00CE22CF" w:rsidRPr="00D77072">
        <w:rPr>
          <w:rFonts w:asciiTheme="majorBidi" w:hAnsiTheme="majorBidi" w:cstheme="majorBidi"/>
          <w:noProof/>
        </w:rPr>
        <w:t>ydraulic energy</w:t>
      </w:r>
      <w:r w:rsidR="00CE22CF">
        <w:rPr>
          <w:rFonts w:asciiTheme="majorBidi" w:hAnsiTheme="majorBidi" w:cstheme="majorBidi"/>
          <w:noProof/>
        </w:rPr>
        <w:t>:</w:t>
      </w:r>
      <w:r w:rsidR="00CE22CF" w:rsidRPr="00D77072">
        <w:rPr>
          <w:rFonts w:asciiTheme="majorBidi" w:hAnsiTheme="majorBidi" w:cstheme="majorBidi"/>
          <w:noProof/>
        </w:rPr>
        <w:t xml:space="preserve"> </w:t>
      </w:r>
      <w:r w:rsidR="0071786D">
        <w:rPr>
          <w:rFonts w:asciiTheme="majorBidi" w:hAnsiTheme="majorBidi" w:cstheme="majorBidi"/>
        </w:rPr>
        <w:t>6</w:t>
      </w:r>
      <w:r w:rsidRPr="00CE22CF">
        <w:rPr>
          <w:rFonts w:asciiTheme="majorBidi" w:hAnsiTheme="majorBidi" w:cstheme="majorBidi"/>
        </w:rPr>
        <w:t>.</w:t>
      </w:r>
      <w:r w:rsidR="0071786D">
        <w:rPr>
          <w:rFonts w:asciiTheme="majorBidi" w:hAnsiTheme="majorBidi" w:cstheme="majorBidi"/>
        </w:rPr>
        <w:t>7</w:t>
      </w:r>
      <w:r w:rsidRPr="00CE22CF">
        <w:rPr>
          <w:rFonts w:asciiTheme="majorBidi" w:hAnsiTheme="majorBidi" w:cstheme="majorBidi"/>
        </w:rPr>
        <w:t>%</w:t>
      </w:r>
      <w:r w:rsidR="00DE5D02">
        <w:rPr>
          <w:rFonts w:asciiTheme="majorBidi" w:hAnsiTheme="majorBidi" w:cstheme="majorBidi"/>
        </w:rPr>
        <w:t>.</w:t>
      </w:r>
    </w:p>
    <w:p w:rsidR="00CE22CF" w:rsidRDefault="00B61D2F" w:rsidP="0071786D">
      <w:pPr>
        <w:pStyle w:val="ListParagraph"/>
        <w:numPr>
          <w:ilvl w:val="0"/>
          <w:numId w:val="5"/>
        </w:numPr>
        <w:spacing w:line="240" w:lineRule="auto"/>
        <w:jc w:val="both"/>
        <w:rPr>
          <w:rFonts w:asciiTheme="majorBidi" w:hAnsiTheme="majorBidi" w:cstheme="majorBidi"/>
        </w:rPr>
      </w:pPr>
      <w:r w:rsidRPr="00CE22CF">
        <w:rPr>
          <w:rFonts w:asciiTheme="majorBidi" w:hAnsiTheme="majorBidi" w:cstheme="majorBidi"/>
        </w:rPr>
        <w:t xml:space="preserve"> </w:t>
      </w:r>
      <w:r w:rsidR="00CE22CF">
        <w:rPr>
          <w:rFonts w:asciiTheme="majorBidi" w:hAnsiTheme="majorBidi" w:cstheme="majorBidi"/>
        </w:rPr>
        <w:t>P</w:t>
      </w:r>
      <w:r w:rsidR="00CE22CF" w:rsidRPr="00CE22CF">
        <w:rPr>
          <w:rFonts w:asciiTheme="majorBidi" w:hAnsiTheme="majorBidi" w:cstheme="majorBidi"/>
        </w:rPr>
        <w:t>urchased from other countries</w:t>
      </w:r>
      <w:r w:rsidR="00CE22CF">
        <w:rPr>
          <w:rFonts w:asciiTheme="majorBidi" w:hAnsiTheme="majorBidi" w:cstheme="majorBidi"/>
        </w:rPr>
        <w:t>:</w:t>
      </w:r>
      <w:r w:rsidRPr="00CE22CF">
        <w:rPr>
          <w:rFonts w:asciiTheme="majorBidi" w:hAnsiTheme="majorBidi" w:cstheme="majorBidi"/>
        </w:rPr>
        <w:t xml:space="preserve"> </w:t>
      </w:r>
      <w:r w:rsidR="0071786D">
        <w:rPr>
          <w:rFonts w:asciiTheme="majorBidi" w:hAnsiTheme="majorBidi" w:cstheme="majorBidi"/>
        </w:rPr>
        <w:t>10</w:t>
      </w:r>
      <w:r w:rsidRPr="00CE22CF">
        <w:rPr>
          <w:rFonts w:asciiTheme="majorBidi" w:hAnsiTheme="majorBidi" w:cstheme="majorBidi"/>
        </w:rPr>
        <w:t>.</w:t>
      </w:r>
      <w:r w:rsidR="0071786D">
        <w:rPr>
          <w:rFonts w:asciiTheme="majorBidi" w:hAnsiTheme="majorBidi" w:cstheme="majorBidi"/>
        </w:rPr>
        <w:t>0</w:t>
      </w:r>
      <w:r w:rsidRPr="00CE22CF">
        <w:rPr>
          <w:rFonts w:asciiTheme="majorBidi" w:hAnsiTheme="majorBidi" w:cstheme="majorBidi"/>
        </w:rPr>
        <w:t>%</w:t>
      </w:r>
      <w:r w:rsidR="00DE5D02">
        <w:rPr>
          <w:rFonts w:asciiTheme="majorBidi" w:hAnsiTheme="majorBidi" w:cstheme="majorBidi"/>
        </w:rPr>
        <w:t>.</w:t>
      </w:r>
    </w:p>
    <w:p w:rsidR="00CE22CF" w:rsidRPr="00CE22CF" w:rsidRDefault="00CE22CF" w:rsidP="0071786D">
      <w:pPr>
        <w:bidi w:val="0"/>
        <w:contextualSpacing/>
        <w:jc w:val="both"/>
        <w:rPr>
          <w:rFonts w:asciiTheme="majorBidi" w:hAnsiTheme="majorBidi" w:cstheme="majorBidi"/>
          <w:sz w:val="22"/>
          <w:szCs w:val="22"/>
        </w:rPr>
      </w:pPr>
      <w:r w:rsidRPr="00CE22CF">
        <w:rPr>
          <w:rFonts w:asciiTheme="majorBidi" w:hAnsiTheme="majorBidi" w:cstheme="majorBidi"/>
          <w:sz w:val="22"/>
          <w:szCs w:val="22"/>
        </w:rPr>
        <w:t>N</w:t>
      </w:r>
      <w:r w:rsidR="00F202E1" w:rsidRPr="00CE22CF">
        <w:rPr>
          <w:rFonts w:asciiTheme="majorBidi" w:hAnsiTheme="majorBidi" w:cstheme="majorBidi"/>
          <w:sz w:val="22"/>
          <w:szCs w:val="22"/>
        </w:rPr>
        <w:t>ight average power is 17,</w:t>
      </w:r>
      <w:r w:rsidR="0071786D">
        <w:rPr>
          <w:rFonts w:asciiTheme="majorBidi" w:hAnsiTheme="majorBidi" w:cstheme="majorBidi"/>
          <w:sz w:val="22"/>
          <w:szCs w:val="22"/>
        </w:rPr>
        <w:t>922</w:t>
      </w:r>
      <w:r w:rsidR="00F202E1" w:rsidRPr="00CE22CF">
        <w:rPr>
          <w:rFonts w:asciiTheme="majorBidi" w:hAnsiTheme="majorBidi" w:cstheme="majorBidi"/>
          <w:sz w:val="22"/>
          <w:szCs w:val="22"/>
        </w:rPr>
        <w:t xml:space="preserve"> MW</w:t>
      </w:r>
      <w:r w:rsidRPr="00CE22CF">
        <w:rPr>
          <w:rFonts w:asciiTheme="majorBidi" w:hAnsiTheme="majorBidi" w:cstheme="majorBidi"/>
          <w:sz w:val="22"/>
          <w:szCs w:val="22"/>
        </w:rPr>
        <w:t>:</w:t>
      </w:r>
    </w:p>
    <w:p w:rsidR="00CE22CF" w:rsidRPr="00CE22CF" w:rsidRDefault="00CE22CF" w:rsidP="0071786D">
      <w:pPr>
        <w:pStyle w:val="ListParagraph"/>
        <w:numPr>
          <w:ilvl w:val="0"/>
          <w:numId w:val="6"/>
        </w:numPr>
        <w:spacing w:line="240" w:lineRule="auto"/>
        <w:jc w:val="both"/>
        <w:rPr>
          <w:rFonts w:asciiTheme="majorBidi" w:hAnsiTheme="majorBidi" w:cstheme="majorBidi"/>
        </w:rPr>
      </w:pPr>
      <w:r w:rsidRPr="00CE22CF">
        <w:rPr>
          <w:rFonts w:asciiTheme="majorBidi" w:hAnsiTheme="majorBidi" w:cstheme="majorBidi"/>
        </w:rPr>
        <w:t xml:space="preserve">Thermal energy: </w:t>
      </w:r>
      <w:r w:rsidR="00F202E1" w:rsidRPr="00CE22CF">
        <w:rPr>
          <w:rFonts w:asciiTheme="majorBidi" w:hAnsiTheme="majorBidi" w:cstheme="majorBidi"/>
        </w:rPr>
        <w:t>9</w:t>
      </w:r>
      <w:r w:rsidR="0071786D">
        <w:rPr>
          <w:rFonts w:asciiTheme="majorBidi" w:hAnsiTheme="majorBidi" w:cstheme="majorBidi"/>
        </w:rPr>
        <w:t>0</w:t>
      </w:r>
      <w:r w:rsidR="00F202E1" w:rsidRPr="00CE22CF">
        <w:rPr>
          <w:rFonts w:asciiTheme="majorBidi" w:hAnsiTheme="majorBidi" w:cstheme="majorBidi"/>
        </w:rPr>
        <w:t>.</w:t>
      </w:r>
      <w:r w:rsidR="0071786D">
        <w:rPr>
          <w:rFonts w:asciiTheme="majorBidi" w:hAnsiTheme="majorBidi" w:cstheme="majorBidi"/>
        </w:rPr>
        <w:t>7</w:t>
      </w:r>
      <w:r w:rsidR="00F202E1" w:rsidRPr="00CE22CF">
        <w:rPr>
          <w:rFonts w:asciiTheme="majorBidi" w:hAnsiTheme="majorBidi" w:cstheme="majorBidi"/>
        </w:rPr>
        <w:t>%</w:t>
      </w:r>
      <w:r w:rsidR="00DE5D02">
        <w:rPr>
          <w:rFonts w:asciiTheme="majorBidi" w:hAnsiTheme="majorBidi" w:cstheme="majorBidi"/>
        </w:rPr>
        <w:t>.</w:t>
      </w:r>
    </w:p>
    <w:p w:rsidR="00E40775" w:rsidRPr="00CE22CF" w:rsidRDefault="00CE22CF" w:rsidP="0071786D">
      <w:pPr>
        <w:pStyle w:val="ListParagraph"/>
        <w:numPr>
          <w:ilvl w:val="0"/>
          <w:numId w:val="6"/>
        </w:numPr>
        <w:spacing w:line="240" w:lineRule="auto"/>
        <w:jc w:val="both"/>
        <w:rPr>
          <w:rFonts w:asciiTheme="majorBidi" w:hAnsiTheme="majorBidi" w:cstheme="majorBidi"/>
        </w:rPr>
      </w:pPr>
      <w:r w:rsidRPr="00CE22CF">
        <w:rPr>
          <w:rFonts w:asciiTheme="majorBidi" w:hAnsiTheme="majorBidi" w:cstheme="majorBidi"/>
          <w:noProof/>
        </w:rPr>
        <w:t xml:space="preserve">Hydraulic energy: </w:t>
      </w:r>
      <w:r w:rsidR="0071786D">
        <w:rPr>
          <w:rFonts w:asciiTheme="majorBidi" w:hAnsiTheme="majorBidi" w:cstheme="majorBidi"/>
        </w:rPr>
        <w:t>9</w:t>
      </w:r>
      <w:r w:rsidRPr="00CE22CF">
        <w:rPr>
          <w:rFonts w:asciiTheme="majorBidi" w:hAnsiTheme="majorBidi" w:cstheme="majorBidi"/>
        </w:rPr>
        <w:t>.</w:t>
      </w:r>
      <w:r w:rsidR="0071786D">
        <w:rPr>
          <w:rFonts w:asciiTheme="majorBidi" w:hAnsiTheme="majorBidi" w:cstheme="majorBidi"/>
        </w:rPr>
        <w:t>3</w:t>
      </w:r>
      <w:r w:rsidRPr="00CE22CF">
        <w:rPr>
          <w:rFonts w:asciiTheme="majorBidi" w:hAnsiTheme="majorBidi" w:cstheme="majorBidi"/>
        </w:rPr>
        <w:t>%</w:t>
      </w:r>
      <w:r w:rsidR="00DE5D02">
        <w:rPr>
          <w:rFonts w:asciiTheme="majorBidi" w:hAnsiTheme="majorBidi" w:cstheme="majorBidi"/>
        </w:rPr>
        <w:t>.</w:t>
      </w:r>
    </w:p>
    <w:p w:rsidR="00F25C09" w:rsidRDefault="00F25C09" w:rsidP="00F25C09">
      <w:pPr>
        <w:bidi w:val="0"/>
        <w:jc w:val="both"/>
        <w:rPr>
          <w:sz w:val="22"/>
          <w:szCs w:val="22"/>
        </w:rPr>
      </w:pPr>
    </w:p>
    <w:p w:rsidR="00F25C09" w:rsidRPr="0071786D" w:rsidRDefault="00F25C09" w:rsidP="0071786D">
      <w:pPr>
        <w:bidi w:val="0"/>
        <w:jc w:val="center"/>
        <w:outlineLvl w:val="0"/>
        <w:rPr>
          <w:b/>
          <w:bCs/>
          <w:sz w:val="22"/>
          <w:szCs w:val="22"/>
        </w:rPr>
      </w:pPr>
      <w:r w:rsidRPr="0071786D">
        <w:rPr>
          <w:b/>
          <w:bCs/>
          <w:sz w:val="22"/>
          <w:szCs w:val="22"/>
        </w:rPr>
        <w:t xml:space="preserve">Table </w:t>
      </w:r>
      <w:r w:rsidR="0079415D" w:rsidRPr="0071786D">
        <w:rPr>
          <w:b/>
          <w:bCs/>
          <w:sz w:val="22"/>
          <w:szCs w:val="22"/>
        </w:rPr>
        <w:t>5.3</w:t>
      </w:r>
      <w:r w:rsidRPr="0071786D">
        <w:rPr>
          <w:b/>
          <w:bCs/>
          <w:sz w:val="22"/>
          <w:szCs w:val="22"/>
        </w:rPr>
        <w:t xml:space="preserve"> – Production of EDL power stations</w:t>
      </w:r>
      <w:r w:rsidR="00CE22CF" w:rsidRPr="0071786D">
        <w:rPr>
          <w:b/>
          <w:bCs/>
          <w:sz w:val="22"/>
          <w:szCs w:val="22"/>
        </w:rPr>
        <w:t>. M</w:t>
      </w:r>
      <w:r w:rsidRPr="0071786D">
        <w:rPr>
          <w:b/>
          <w:bCs/>
          <w:sz w:val="22"/>
          <w:szCs w:val="22"/>
        </w:rPr>
        <w:t xml:space="preserve">illion KWh in </w:t>
      </w:r>
      <w:r w:rsidR="0071786D">
        <w:rPr>
          <w:b/>
          <w:bCs/>
          <w:sz w:val="22"/>
          <w:szCs w:val="22"/>
        </w:rPr>
        <w:t>2010</w:t>
      </w:r>
      <w:r w:rsidRPr="0071786D">
        <w:rPr>
          <w:b/>
          <w:bCs/>
          <w:sz w:val="22"/>
          <w:szCs w:val="22"/>
        </w:rPr>
        <w:t xml:space="preserve"> </w:t>
      </w:r>
    </w:p>
    <w:tbl>
      <w:tblPr>
        <w:tblW w:w="9728" w:type="dxa"/>
        <w:jc w:val="center"/>
        <w:tblInd w:w="-166" w:type="dxa"/>
        <w:tblBorders>
          <w:top w:val="single" w:sz="12" w:space="0" w:color="auto"/>
          <w:bottom w:val="single" w:sz="12" w:space="0" w:color="auto"/>
          <w:insideH w:val="single" w:sz="12" w:space="0" w:color="auto"/>
        </w:tblBorders>
        <w:tblLook w:val="04A0"/>
      </w:tblPr>
      <w:tblGrid>
        <w:gridCol w:w="2337"/>
        <w:gridCol w:w="1393"/>
        <w:gridCol w:w="1160"/>
        <w:gridCol w:w="2511"/>
        <w:gridCol w:w="2327"/>
      </w:tblGrid>
      <w:tr w:rsidR="00F25C09" w:rsidRPr="0071786D" w:rsidTr="00CE22CF">
        <w:trPr>
          <w:trHeight w:val="330"/>
          <w:jc w:val="center"/>
        </w:trPr>
        <w:tc>
          <w:tcPr>
            <w:tcW w:w="2337" w:type="dxa"/>
            <w:tcBorders>
              <w:bottom w:val="single" w:sz="12" w:space="0" w:color="auto"/>
            </w:tcBorders>
            <w:shd w:val="clear" w:color="auto" w:fill="auto"/>
            <w:vAlign w:val="center"/>
            <w:hideMark/>
          </w:tcPr>
          <w:p w:rsidR="00F25C09" w:rsidRPr="0071786D" w:rsidRDefault="00F25C09" w:rsidP="008324BA">
            <w:pPr>
              <w:bidi w:val="0"/>
              <w:spacing w:line="312" w:lineRule="auto"/>
              <w:rPr>
                <w:rFonts w:eastAsia="Times New Roman"/>
                <w:b/>
                <w:bCs/>
                <w:sz w:val="16"/>
                <w:szCs w:val="16"/>
                <w:lang w:eastAsia="en-US" w:bidi="ar-SA"/>
              </w:rPr>
            </w:pPr>
            <w:r w:rsidRPr="0071786D">
              <w:rPr>
                <w:rFonts w:eastAsia="Times New Roman"/>
                <w:b/>
                <w:bCs/>
                <w:sz w:val="16"/>
                <w:szCs w:val="16"/>
                <w:lang w:eastAsia="en-US" w:bidi="ar-SA"/>
              </w:rPr>
              <w:t>Thermal energy</w:t>
            </w:r>
          </w:p>
        </w:tc>
        <w:tc>
          <w:tcPr>
            <w:tcW w:w="1393" w:type="dxa"/>
            <w:tcBorders>
              <w:bottom w:val="single" w:sz="12" w:space="0" w:color="auto"/>
            </w:tcBorders>
            <w:shd w:val="clear" w:color="auto" w:fill="auto"/>
            <w:noWrap/>
            <w:vAlign w:val="center"/>
            <w:hideMark/>
          </w:tcPr>
          <w:p w:rsidR="00F25C09" w:rsidRPr="0071786D" w:rsidRDefault="00F25C09" w:rsidP="008324BA">
            <w:pPr>
              <w:bidi w:val="0"/>
              <w:spacing w:line="312" w:lineRule="auto"/>
              <w:jc w:val="right"/>
              <w:rPr>
                <w:rFonts w:eastAsia="Times New Roman"/>
                <w:b/>
                <w:bCs/>
                <w:sz w:val="16"/>
                <w:szCs w:val="16"/>
                <w:lang w:eastAsia="en-US" w:bidi="ar-SA"/>
              </w:rPr>
            </w:pPr>
            <w:r w:rsidRPr="0071786D">
              <w:rPr>
                <w:rFonts w:eastAsia="Times New Roman"/>
                <w:b/>
                <w:bCs/>
                <w:sz w:val="16"/>
                <w:szCs w:val="16"/>
                <w:lang w:eastAsia="en-US" w:bidi="ar-SA"/>
              </w:rPr>
              <w:t>Million KWh</w:t>
            </w:r>
          </w:p>
        </w:tc>
        <w:tc>
          <w:tcPr>
            <w:tcW w:w="1160" w:type="dxa"/>
            <w:tcBorders>
              <w:bottom w:val="single" w:sz="12" w:space="0" w:color="auto"/>
            </w:tcBorders>
            <w:shd w:val="clear" w:color="auto" w:fill="auto"/>
            <w:noWrap/>
            <w:vAlign w:val="center"/>
            <w:hideMark/>
          </w:tcPr>
          <w:p w:rsidR="00F25C09" w:rsidRPr="0071786D" w:rsidRDefault="00AB151D" w:rsidP="008324BA">
            <w:pPr>
              <w:bidi w:val="0"/>
              <w:spacing w:line="312" w:lineRule="auto"/>
              <w:jc w:val="right"/>
              <w:rPr>
                <w:rFonts w:eastAsia="Times New Roman"/>
                <w:b/>
                <w:bCs/>
                <w:sz w:val="16"/>
                <w:szCs w:val="16"/>
                <w:lang w:eastAsia="en-US" w:bidi="ar-SA"/>
              </w:rPr>
            </w:pPr>
            <w:r w:rsidRPr="0071786D">
              <w:rPr>
                <w:rFonts w:eastAsia="Times New Roman"/>
                <w:b/>
                <w:bCs/>
                <w:sz w:val="16"/>
                <w:szCs w:val="16"/>
                <w:lang w:eastAsia="en-US" w:bidi="ar-SA"/>
              </w:rPr>
              <w:t>%</w:t>
            </w:r>
          </w:p>
        </w:tc>
        <w:tc>
          <w:tcPr>
            <w:tcW w:w="2511" w:type="dxa"/>
            <w:tcBorders>
              <w:bottom w:val="single" w:sz="12" w:space="0" w:color="auto"/>
            </w:tcBorders>
            <w:shd w:val="clear" w:color="auto" w:fill="auto"/>
            <w:noWrap/>
            <w:vAlign w:val="center"/>
            <w:hideMark/>
          </w:tcPr>
          <w:p w:rsidR="00F25C09" w:rsidRPr="0071786D" w:rsidRDefault="00F25C09" w:rsidP="008324BA">
            <w:pPr>
              <w:bidi w:val="0"/>
              <w:spacing w:line="312" w:lineRule="auto"/>
              <w:jc w:val="right"/>
              <w:rPr>
                <w:rFonts w:eastAsia="Times New Roman"/>
                <w:b/>
                <w:bCs/>
                <w:sz w:val="16"/>
                <w:szCs w:val="16"/>
                <w:lang w:eastAsia="en-US" w:bidi="ar-SA"/>
              </w:rPr>
            </w:pPr>
            <w:r w:rsidRPr="0071786D">
              <w:rPr>
                <w:rFonts w:eastAsia="Times New Roman"/>
                <w:b/>
                <w:bCs/>
                <w:sz w:val="16"/>
                <w:szCs w:val="16"/>
                <w:lang w:eastAsia="en-US" w:bidi="ar-SA"/>
              </w:rPr>
              <w:t>Peak month</w:t>
            </w:r>
            <w:r w:rsidR="009D0F07" w:rsidRPr="0071786D">
              <w:rPr>
                <w:rFonts w:eastAsia="Times New Roman"/>
                <w:b/>
                <w:bCs/>
                <w:sz w:val="16"/>
                <w:szCs w:val="16"/>
                <w:lang w:eastAsia="en-US" w:bidi="ar-SA"/>
              </w:rPr>
              <w:t>. M</w:t>
            </w:r>
            <w:r w:rsidRPr="0071786D">
              <w:rPr>
                <w:rFonts w:eastAsia="Times New Roman"/>
                <w:b/>
                <w:bCs/>
                <w:sz w:val="16"/>
                <w:szCs w:val="16"/>
                <w:lang w:eastAsia="en-US" w:bidi="ar-SA"/>
              </w:rPr>
              <w:t>illion KWh</w:t>
            </w:r>
          </w:p>
        </w:tc>
        <w:tc>
          <w:tcPr>
            <w:tcW w:w="2327" w:type="dxa"/>
            <w:tcBorders>
              <w:bottom w:val="single" w:sz="12" w:space="0" w:color="auto"/>
            </w:tcBorders>
            <w:shd w:val="clear" w:color="auto" w:fill="auto"/>
            <w:noWrap/>
            <w:vAlign w:val="center"/>
            <w:hideMark/>
          </w:tcPr>
          <w:p w:rsidR="00F25C09" w:rsidRPr="0071786D" w:rsidRDefault="00F25C09" w:rsidP="008324BA">
            <w:pPr>
              <w:bidi w:val="0"/>
              <w:spacing w:line="312" w:lineRule="auto"/>
              <w:jc w:val="right"/>
              <w:rPr>
                <w:rFonts w:eastAsia="Times New Roman"/>
                <w:b/>
                <w:bCs/>
                <w:sz w:val="16"/>
                <w:szCs w:val="16"/>
                <w:lang w:eastAsia="en-US" w:bidi="ar-SA"/>
              </w:rPr>
            </w:pPr>
            <w:r w:rsidRPr="0071786D">
              <w:rPr>
                <w:rFonts w:eastAsia="Times New Roman"/>
                <w:b/>
                <w:bCs/>
                <w:sz w:val="16"/>
                <w:szCs w:val="16"/>
                <w:lang w:eastAsia="en-US" w:bidi="ar-SA"/>
              </w:rPr>
              <w:t>Peak month</w:t>
            </w:r>
            <w:r w:rsidR="009D0F07" w:rsidRPr="0071786D">
              <w:rPr>
                <w:rFonts w:eastAsia="Times New Roman"/>
                <w:b/>
                <w:bCs/>
                <w:sz w:val="16"/>
                <w:szCs w:val="16"/>
                <w:lang w:eastAsia="en-US" w:bidi="ar-SA"/>
              </w:rPr>
              <w:t xml:space="preserve">. </w:t>
            </w:r>
            <w:r w:rsidR="00AB151D" w:rsidRPr="0071786D">
              <w:rPr>
                <w:rFonts w:eastAsia="Times New Roman"/>
                <w:b/>
                <w:bCs/>
                <w:sz w:val="16"/>
                <w:szCs w:val="16"/>
                <w:lang w:eastAsia="en-US" w:bidi="ar-SA"/>
              </w:rPr>
              <w:t>%</w:t>
            </w:r>
          </w:p>
        </w:tc>
      </w:tr>
      <w:tr w:rsidR="00F25C09" w:rsidRPr="0071786D" w:rsidTr="00CE22CF">
        <w:trPr>
          <w:trHeight w:val="255"/>
          <w:jc w:val="center"/>
        </w:trPr>
        <w:tc>
          <w:tcPr>
            <w:tcW w:w="2337" w:type="dxa"/>
            <w:tcBorders>
              <w:top w:val="dotted" w:sz="4" w:space="0" w:color="auto"/>
              <w:bottom w:val="single" w:sz="12" w:space="0" w:color="auto"/>
            </w:tcBorders>
            <w:shd w:val="clear" w:color="auto" w:fill="auto"/>
            <w:vAlign w:val="center"/>
            <w:hideMark/>
          </w:tcPr>
          <w:p w:rsidR="00F25C09" w:rsidRPr="0071786D" w:rsidRDefault="00F25C09" w:rsidP="008324BA">
            <w:pPr>
              <w:bidi w:val="0"/>
              <w:spacing w:line="312" w:lineRule="auto"/>
              <w:rPr>
                <w:rFonts w:eastAsia="Times New Roman"/>
                <w:b/>
                <w:bCs/>
                <w:sz w:val="16"/>
                <w:szCs w:val="16"/>
                <w:lang w:eastAsia="en-US" w:bidi="ar-SA"/>
              </w:rPr>
            </w:pPr>
            <w:r w:rsidRPr="0071786D">
              <w:rPr>
                <w:rFonts w:eastAsia="Times New Roman"/>
                <w:b/>
                <w:bCs/>
                <w:sz w:val="16"/>
                <w:szCs w:val="16"/>
                <w:lang w:eastAsia="en-US" w:bidi="ar-SA"/>
              </w:rPr>
              <w:t>Total energy</w:t>
            </w:r>
          </w:p>
        </w:tc>
        <w:tc>
          <w:tcPr>
            <w:tcW w:w="1393" w:type="dxa"/>
            <w:tcBorders>
              <w:top w:val="dotted" w:sz="4" w:space="0" w:color="auto"/>
              <w:bottom w:val="single" w:sz="12"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b/>
                <w:bCs/>
                <w:sz w:val="16"/>
                <w:szCs w:val="16"/>
                <w:lang w:eastAsia="en-US" w:bidi="ar-SA"/>
              </w:rPr>
            </w:pPr>
            <w:r>
              <w:rPr>
                <w:rFonts w:eastAsia="Times New Roman"/>
                <w:b/>
                <w:bCs/>
                <w:sz w:val="16"/>
                <w:szCs w:val="16"/>
                <w:lang w:eastAsia="en-US" w:bidi="ar-SA"/>
              </w:rPr>
              <w:t>12,459</w:t>
            </w:r>
          </w:p>
        </w:tc>
        <w:tc>
          <w:tcPr>
            <w:tcW w:w="1160" w:type="dxa"/>
            <w:tcBorders>
              <w:top w:val="dotted" w:sz="4" w:space="0" w:color="auto"/>
              <w:bottom w:val="single" w:sz="12" w:space="0" w:color="auto"/>
            </w:tcBorders>
            <w:shd w:val="clear" w:color="auto" w:fill="auto"/>
            <w:noWrap/>
            <w:vAlign w:val="center"/>
            <w:hideMark/>
          </w:tcPr>
          <w:p w:rsidR="00F25C09" w:rsidRPr="0071786D" w:rsidRDefault="00F25C09" w:rsidP="008324BA">
            <w:pPr>
              <w:bidi w:val="0"/>
              <w:spacing w:line="312" w:lineRule="auto"/>
              <w:jc w:val="right"/>
              <w:rPr>
                <w:rFonts w:eastAsia="Times New Roman"/>
                <w:b/>
                <w:bCs/>
                <w:sz w:val="16"/>
                <w:szCs w:val="16"/>
                <w:lang w:eastAsia="en-US" w:bidi="ar-SA"/>
              </w:rPr>
            </w:pPr>
            <w:r w:rsidRPr="0071786D">
              <w:rPr>
                <w:rFonts w:eastAsia="Times New Roman"/>
                <w:b/>
                <w:bCs/>
                <w:sz w:val="16"/>
                <w:szCs w:val="16"/>
                <w:lang w:eastAsia="en-US" w:bidi="ar-SA"/>
              </w:rPr>
              <w:t>100</w:t>
            </w:r>
          </w:p>
        </w:tc>
        <w:tc>
          <w:tcPr>
            <w:tcW w:w="2511" w:type="dxa"/>
            <w:tcBorders>
              <w:top w:val="dotted" w:sz="4" w:space="0" w:color="auto"/>
              <w:bottom w:val="single" w:sz="12" w:space="0" w:color="auto"/>
            </w:tcBorders>
            <w:shd w:val="clear" w:color="auto" w:fill="auto"/>
            <w:noWrap/>
            <w:vAlign w:val="center"/>
            <w:hideMark/>
          </w:tcPr>
          <w:p w:rsidR="00F25C09" w:rsidRPr="0071786D" w:rsidRDefault="00F25C09" w:rsidP="008324BA">
            <w:pPr>
              <w:bidi w:val="0"/>
              <w:spacing w:line="312" w:lineRule="auto"/>
              <w:jc w:val="right"/>
              <w:rPr>
                <w:rFonts w:eastAsia="Times New Roman"/>
                <w:b/>
                <w:bCs/>
                <w:sz w:val="16"/>
                <w:szCs w:val="16"/>
                <w:lang w:eastAsia="en-US" w:bidi="ar-SA"/>
              </w:rPr>
            </w:pPr>
            <w:r w:rsidRPr="0071786D">
              <w:rPr>
                <w:rFonts w:eastAsia="Times New Roman"/>
                <w:b/>
                <w:bCs/>
                <w:sz w:val="16"/>
                <w:szCs w:val="16"/>
                <w:lang w:eastAsia="en-US" w:bidi="ar-SA"/>
              </w:rPr>
              <w:t>July (1,1</w:t>
            </w:r>
            <w:r w:rsidR="00055F78">
              <w:rPr>
                <w:rFonts w:eastAsia="Times New Roman"/>
                <w:b/>
                <w:bCs/>
                <w:sz w:val="16"/>
                <w:szCs w:val="16"/>
                <w:lang w:eastAsia="en-US" w:bidi="ar-SA"/>
              </w:rPr>
              <w:t>76</w:t>
            </w:r>
            <w:r w:rsidRPr="0071786D">
              <w:rPr>
                <w:rFonts w:eastAsia="Times New Roman"/>
                <w:b/>
                <w:bCs/>
                <w:sz w:val="16"/>
                <w:szCs w:val="16"/>
                <w:lang w:eastAsia="en-US" w:bidi="ar-SA"/>
              </w:rPr>
              <w:t>)</w:t>
            </w:r>
          </w:p>
        </w:tc>
        <w:tc>
          <w:tcPr>
            <w:tcW w:w="2327" w:type="dxa"/>
            <w:tcBorders>
              <w:top w:val="dotted" w:sz="4" w:space="0" w:color="auto"/>
              <w:bottom w:val="single" w:sz="12" w:space="0" w:color="auto"/>
            </w:tcBorders>
            <w:shd w:val="clear" w:color="auto" w:fill="auto"/>
            <w:noWrap/>
            <w:vAlign w:val="center"/>
            <w:hideMark/>
          </w:tcPr>
          <w:p w:rsidR="00F25C09" w:rsidRPr="0071786D" w:rsidRDefault="00F25C09" w:rsidP="008324BA">
            <w:pPr>
              <w:bidi w:val="0"/>
              <w:spacing w:line="312" w:lineRule="auto"/>
              <w:jc w:val="right"/>
              <w:rPr>
                <w:rFonts w:eastAsia="Times New Roman"/>
                <w:b/>
                <w:bCs/>
                <w:sz w:val="16"/>
                <w:szCs w:val="16"/>
                <w:lang w:eastAsia="en-US" w:bidi="ar-SA"/>
              </w:rPr>
            </w:pPr>
            <w:r w:rsidRPr="0071786D">
              <w:rPr>
                <w:rFonts w:eastAsia="Times New Roman"/>
                <w:b/>
                <w:bCs/>
                <w:sz w:val="16"/>
                <w:szCs w:val="16"/>
                <w:lang w:eastAsia="en-US" w:bidi="ar-SA"/>
              </w:rPr>
              <w:t>July (9.</w:t>
            </w:r>
            <w:r w:rsidR="00055F78">
              <w:rPr>
                <w:rFonts w:eastAsia="Times New Roman"/>
                <w:b/>
                <w:bCs/>
                <w:sz w:val="16"/>
                <w:szCs w:val="16"/>
                <w:lang w:eastAsia="en-US" w:bidi="ar-SA"/>
              </w:rPr>
              <w:t>4</w:t>
            </w:r>
            <w:r w:rsidRPr="0071786D">
              <w:rPr>
                <w:rFonts w:eastAsia="Times New Roman"/>
                <w:b/>
                <w:bCs/>
                <w:sz w:val="16"/>
                <w:szCs w:val="16"/>
                <w:lang w:eastAsia="en-US" w:bidi="ar-SA"/>
              </w:rPr>
              <w:t>)</w:t>
            </w:r>
          </w:p>
        </w:tc>
      </w:tr>
      <w:tr w:rsidR="00F25C09" w:rsidRPr="0071786D" w:rsidTr="00CE22CF">
        <w:trPr>
          <w:trHeight w:val="255"/>
          <w:jc w:val="center"/>
        </w:trPr>
        <w:tc>
          <w:tcPr>
            <w:tcW w:w="2337" w:type="dxa"/>
            <w:tcBorders>
              <w:top w:val="single" w:sz="12" w:space="0" w:color="auto"/>
              <w:bottom w:val="dotted" w:sz="4" w:space="0" w:color="auto"/>
            </w:tcBorders>
            <w:shd w:val="clear" w:color="auto" w:fill="auto"/>
            <w:vAlign w:val="center"/>
            <w:hideMark/>
          </w:tcPr>
          <w:p w:rsidR="00F25C09" w:rsidRPr="0071786D" w:rsidRDefault="00F25C09" w:rsidP="008324BA">
            <w:pPr>
              <w:bidi w:val="0"/>
              <w:spacing w:line="312" w:lineRule="auto"/>
              <w:rPr>
                <w:rFonts w:eastAsia="Times New Roman"/>
                <w:i/>
                <w:iCs/>
                <w:sz w:val="16"/>
                <w:szCs w:val="16"/>
                <w:lang w:eastAsia="en-US" w:bidi="ar-SA"/>
              </w:rPr>
            </w:pPr>
            <w:r w:rsidRPr="0071786D">
              <w:rPr>
                <w:rFonts w:eastAsia="Times New Roman"/>
                <w:i/>
                <w:iCs/>
                <w:sz w:val="16"/>
                <w:szCs w:val="16"/>
                <w:lang w:eastAsia="en-US" w:bidi="ar-SA"/>
              </w:rPr>
              <w:t>Hydraulic energy</w:t>
            </w:r>
          </w:p>
        </w:tc>
        <w:tc>
          <w:tcPr>
            <w:tcW w:w="1393" w:type="dxa"/>
            <w:tcBorders>
              <w:top w:val="single" w:sz="12" w:space="0" w:color="auto"/>
              <w:bottom w:val="dotted" w:sz="4"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839</w:t>
            </w:r>
          </w:p>
        </w:tc>
        <w:tc>
          <w:tcPr>
            <w:tcW w:w="1160" w:type="dxa"/>
            <w:tcBorders>
              <w:top w:val="single" w:sz="12" w:space="0" w:color="auto"/>
              <w:bottom w:val="dotted" w:sz="4"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6.7</w:t>
            </w:r>
          </w:p>
        </w:tc>
        <w:tc>
          <w:tcPr>
            <w:tcW w:w="2511" w:type="dxa"/>
            <w:tcBorders>
              <w:top w:val="single" w:sz="12" w:space="0" w:color="auto"/>
              <w:bottom w:val="dotted" w:sz="4" w:space="0" w:color="auto"/>
            </w:tcBorders>
            <w:shd w:val="clear" w:color="auto" w:fill="auto"/>
            <w:noWrap/>
            <w:vAlign w:val="center"/>
            <w:hideMark/>
          </w:tcPr>
          <w:p w:rsidR="00F25C09" w:rsidRPr="0071786D" w:rsidRDefault="00055F78"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March (125)</w:t>
            </w:r>
          </w:p>
        </w:tc>
        <w:tc>
          <w:tcPr>
            <w:tcW w:w="2327" w:type="dxa"/>
            <w:tcBorders>
              <w:top w:val="single" w:sz="12" w:space="0" w:color="auto"/>
              <w:bottom w:val="dotted" w:sz="4" w:space="0" w:color="auto"/>
            </w:tcBorders>
            <w:shd w:val="clear" w:color="auto" w:fill="auto"/>
            <w:noWrap/>
            <w:vAlign w:val="center"/>
            <w:hideMark/>
          </w:tcPr>
          <w:p w:rsidR="00F25C09" w:rsidRPr="0071786D" w:rsidRDefault="00055F78"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March (14.9)</w:t>
            </w:r>
          </w:p>
        </w:tc>
      </w:tr>
      <w:tr w:rsidR="00F25C09" w:rsidRPr="0071786D" w:rsidTr="00CE22CF">
        <w:trPr>
          <w:trHeight w:val="255"/>
          <w:jc w:val="center"/>
        </w:trPr>
        <w:tc>
          <w:tcPr>
            <w:tcW w:w="2337" w:type="dxa"/>
            <w:tcBorders>
              <w:top w:val="dotted" w:sz="4" w:space="0" w:color="auto"/>
              <w:bottom w:val="single" w:sz="12" w:space="0" w:color="auto"/>
            </w:tcBorders>
            <w:shd w:val="clear" w:color="auto" w:fill="auto"/>
            <w:vAlign w:val="center"/>
            <w:hideMark/>
          </w:tcPr>
          <w:p w:rsidR="00F25C09" w:rsidRPr="0071786D" w:rsidRDefault="00B72C35" w:rsidP="008324BA">
            <w:pPr>
              <w:bidi w:val="0"/>
              <w:spacing w:line="312" w:lineRule="auto"/>
              <w:rPr>
                <w:rFonts w:eastAsia="Times New Roman"/>
                <w:sz w:val="16"/>
                <w:szCs w:val="16"/>
                <w:lang w:eastAsia="en-US" w:bidi="ar-SA"/>
              </w:rPr>
            </w:pPr>
            <w:r w:rsidRPr="0071786D">
              <w:rPr>
                <w:rFonts w:eastAsia="Times New Roman"/>
                <w:sz w:val="16"/>
                <w:szCs w:val="16"/>
                <w:lang w:eastAsia="en-US" w:bidi="ar-SA"/>
              </w:rPr>
              <w:t>Litani</w:t>
            </w:r>
          </w:p>
        </w:tc>
        <w:tc>
          <w:tcPr>
            <w:tcW w:w="1393" w:type="dxa"/>
            <w:tcBorders>
              <w:top w:val="dotted" w:sz="4" w:space="0" w:color="auto"/>
              <w:bottom w:val="single" w:sz="12"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666</w:t>
            </w:r>
          </w:p>
        </w:tc>
        <w:tc>
          <w:tcPr>
            <w:tcW w:w="1160" w:type="dxa"/>
            <w:tcBorders>
              <w:top w:val="dotted" w:sz="4" w:space="0" w:color="auto"/>
              <w:bottom w:val="single" w:sz="12"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79.3</w:t>
            </w:r>
          </w:p>
        </w:tc>
        <w:tc>
          <w:tcPr>
            <w:tcW w:w="2511" w:type="dxa"/>
            <w:tcBorders>
              <w:top w:val="dotted" w:sz="4" w:space="0" w:color="auto"/>
              <w:bottom w:val="single" w:sz="12" w:space="0" w:color="auto"/>
            </w:tcBorders>
            <w:shd w:val="clear" w:color="auto" w:fill="auto"/>
            <w:noWrap/>
            <w:vAlign w:val="center"/>
            <w:hideMark/>
          </w:tcPr>
          <w:p w:rsidR="00F25C09" w:rsidRPr="0071786D" w:rsidRDefault="00055F78"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March (88)</w:t>
            </w:r>
          </w:p>
        </w:tc>
        <w:tc>
          <w:tcPr>
            <w:tcW w:w="2327" w:type="dxa"/>
            <w:tcBorders>
              <w:top w:val="dotted" w:sz="4" w:space="0" w:color="auto"/>
              <w:bottom w:val="single" w:sz="12" w:space="0" w:color="auto"/>
            </w:tcBorders>
            <w:shd w:val="clear" w:color="auto" w:fill="auto"/>
            <w:noWrap/>
            <w:vAlign w:val="center"/>
            <w:hideMark/>
          </w:tcPr>
          <w:p w:rsidR="00F25C09" w:rsidRPr="0071786D" w:rsidRDefault="00055F78"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March (13.3)</w:t>
            </w:r>
          </w:p>
        </w:tc>
      </w:tr>
      <w:tr w:rsidR="00F25C09" w:rsidRPr="0071786D" w:rsidTr="00CE22CF">
        <w:trPr>
          <w:trHeight w:val="255"/>
          <w:jc w:val="center"/>
        </w:trPr>
        <w:tc>
          <w:tcPr>
            <w:tcW w:w="2337" w:type="dxa"/>
            <w:tcBorders>
              <w:top w:val="single" w:sz="12" w:space="0" w:color="auto"/>
              <w:bottom w:val="dotted" w:sz="4" w:space="0" w:color="auto"/>
            </w:tcBorders>
            <w:shd w:val="clear" w:color="auto" w:fill="auto"/>
            <w:vAlign w:val="center"/>
            <w:hideMark/>
          </w:tcPr>
          <w:p w:rsidR="00F25C09" w:rsidRPr="0071786D" w:rsidRDefault="00B72C35" w:rsidP="008324BA">
            <w:pPr>
              <w:bidi w:val="0"/>
              <w:spacing w:line="312" w:lineRule="auto"/>
              <w:rPr>
                <w:rFonts w:eastAsia="Times New Roman"/>
                <w:i/>
                <w:iCs/>
                <w:sz w:val="16"/>
                <w:szCs w:val="16"/>
                <w:lang w:eastAsia="en-US" w:bidi="ar-SA"/>
              </w:rPr>
            </w:pPr>
            <w:r w:rsidRPr="0071786D">
              <w:rPr>
                <w:rFonts w:eastAsia="Times New Roman"/>
                <w:i/>
                <w:iCs/>
                <w:sz w:val="16"/>
                <w:szCs w:val="16"/>
                <w:lang w:eastAsia="en-US" w:bidi="ar-SA"/>
              </w:rPr>
              <w:t>Thermal energy</w:t>
            </w:r>
          </w:p>
        </w:tc>
        <w:tc>
          <w:tcPr>
            <w:tcW w:w="1393" w:type="dxa"/>
            <w:tcBorders>
              <w:top w:val="single" w:sz="12" w:space="0" w:color="auto"/>
              <w:bottom w:val="dotted" w:sz="4"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10,378</w:t>
            </w:r>
          </w:p>
        </w:tc>
        <w:tc>
          <w:tcPr>
            <w:tcW w:w="1160" w:type="dxa"/>
            <w:tcBorders>
              <w:top w:val="single" w:sz="12" w:space="0" w:color="auto"/>
              <w:bottom w:val="dotted" w:sz="4"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83.3</w:t>
            </w:r>
          </w:p>
        </w:tc>
        <w:tc>
          <w:tcPr>
            <w:tcW w:w="2511" w:type="dxa"/>
            <w:tcBorders>
              <w:top w:val="single" w:sz="12" w:space="0" w:color="auto"/>
              <w:bottom w:val="dotted" w:sz="4" w:space="0" w:color="auto"/>
            </w:tcBorders>
            <w:shd w:val="clear" w:color="auto" w:fill="auto"/>
            <w:noWrap/>
            <w:vAlign w:val="center"/>
            <w:hideMark/>
          </w:tcPr>
          <w:p w:rsidR="00F25C09" w:rsidRPr="0071786D" w:rsidRDefault="00DA7F6D"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August (1,083)</w:t>
            </w:r>
          </w:p>
        </w:tc>
        <w:tc>
          <w:tcPr>
            <w:tcW w:w="2327" w:type="dxa"/>
            <w:tcBorders>
              <w:top w:val="single" w:sz="12" w:space="0" w:color="auto"/>
              <w:bottom w:val="dotted" w:sz="4" w:space="0" w:color="auto"/>
            </w:tcBorders>
            <w:shd w:val="clear" w:color="auto" w:fill="auto"/>
            <w:noWrap/>
            <w:vAlign w:val="center"/>
            <w:hideMark/>
          </w:tcPr>
          <w:p w:rsidR="00F25C09" w:rsidRPr="0071786D" w:rsidRDefault="00DA7F6D"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August (10.4)</w:t>
            </w:r>
          </w:p>
        </w:tc>
      </w:tr>
      <w:tr w:rsidR="00F25C09" w:rsidRPr="0071786D" w:rsidTr="00CE22CF">
        <w:trPr>
          <w:trHeight w:val="255"/>
          <w:jc w:val="center"/>
        </w:trPr>
        <w:tc>
          <w:tcPr>
            <w:tcW w:w="2337" w:type="dxa"/>
            <w:tcBorders>
              <w:top w:val="dotted" w:sz="4" w:space="0" w:color="auto"/>
              <w:bottom w:val="single" w:sz="12" w:space="0" w:color="auto"/>
            </w:tcBorders>
            <w:shd w:val="clear" w:color="auto" w:fill="auto"/>
            <w:vAlign w:val="center"/>
            <w:hideMark/>
          </w:tcPr>
          <w:p w:rsidR="00F25C09" w:rsidRPr="0071786D" w:rsidRDefault="00B72C35" w:rsidP="008324BA">
            <w:pPr>
              <w:bidi w:val="0"/>
              <w:spacing w:line="312" w:lineRule="auto"/>
              <w:rPr>
                <w:rFonts w:eastAsia="Times New Roman"/>
                <w:sz w:val="16"/>
                <w:szCs w:val="16"/>
                <w:lang w:eastAsia="en-US" w:bidi="ar-SA"/>
              </w:rPr>
            </w:pPr>
            <w:r w:rsidRPr="0071786D">
              <w:rPr>
                <w:rFonts w:eastAsia="Times New Roman"/>
                <w:sz w:val="16"/>
                <w:szCs w:val="16"/>
                <w:lang w:eastAsia="en-US" w:bidi="ar-SA"/>
              </w:rPr>
              <w:t>Dair Ammar</w:t>
            </w:r>
          </w:p>
        </w:tc>
        <w:tc>
          <w:tcPr>
            <w:tcW w:w="1393" w:type="dxa"/>
            <w:tcBorders>
              <w:top w:val="dotted" w:sz="4" w:space="0" w:color="auto"/>
              <w:bottom w:val="single" w:sz="12"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2,660</w:t>
            </w:r>
          </w:p>
        </w:tc>
        <w:tc>
          <w:tcPr>
            <w:tcW w:w="1160" w:type="dxa"/>
            <w:tcBorders>
              <w:top w:val="dotted" w:sz="4" w:space="0" w:color="auto"/>
              <w:bottom w:val="single" w:sz="12" w:space="0" w:color="auto"/>
            </w:tcBorders>
            <w:shd w:val="clear" w:color="auto" w:fill="auto"/>
            <w:noWrap/>
            <w:vAlign w:val="center"/>
            <w:hideMark/>
          </w:tcPr>
          <w:p w:rsidR="00F25C09" w:rsidRPr="0071786D" w:rsidRDefault="0071786D"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25.6</w:t>
            </w:r>
          </w:p>
        </w:tc>
        <w:tc>
          <w:tcPr>
            <w:tcW w:w="2511" w:type="dxa"/>
            <w:tcBorders>
              <w:top w:val="dotted" w:sz="4" w:space="0" w:color="auto"/>
              <w:bottom w:val="single" w:sz="12" w:space="0" w:color="auto"/>
            </w:tcBorders>
            <w:shd w:val="clear" w:color="auto" w:fill="auto"/>
            <w:noWrap/>
            <w:vAlign w:val="center"/>
            <w:hideMark/>
          </w:tcPr>
          <w:p w:rsidR="00F25C09" w:rsidRPr="0071786D" w:rsidRDefault="00DA7F6D"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July (290)</w:t>
            </w:r>
          </w:p>
        </w:tc>
        <w:tc>
          <w:tcPr>
            <w:tcW w:w="2327" w:type="dxa"/>
            <w:tcBorders>
              <w:top w:val="dotted" w:sz="4" w:space="0" w:color="auto"/>
              <w:bottom w:val="single" w:sz="12" w:space="0" w:color="auto"/>
            </w:tcBorders>
            <w:shd w:val="clear" w:color="auto" w:fill="auto"/>
            <w:noWrap/>
            <w:vAlign w:val="center"/>
            <w:hideMark/>
          </w:tcPr>
          <w:p w:rsidR="00F25C09" w:rsidRPr="0071786D" w:rsidRDefault="00DA7F6D"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July (10.9)</w:t>
            </w:r>
          </w:p>
        </w:tc>
      </w:tr>
      <w:tr w:rsidR="00B72C35" w:rsidRPr="0071786D" w:rsidTr="00CE22CF">
        <w:trPr>
          <w:trHeight w:val="255"/>
          <w:jc w:val="center"/>
        </w:trPr>
        <w:tc>
          <w:tcPr>
            <w:tcW w:w="2337" w:type="dxa"/>
            <w:tcBorders>
              <w:top w:val="single" w:sz="12" w:space="0" w:color="auto"/>
              <w:bottom w:val="dotted" w:sz="4" w:space="0" w:color="auto"/>
            </w:tcBorders>
            <w:shd w:val="clear" w:color="auto" w:fill="auto"/>
            <w:vAlign w:val="center"/>
            <w:hideMark/>
          </w:tcPr>
          <w:p w:rsidR="00B72C35" w:rsidRPr="0071786D" w:rsidRDefault="005B13C6" w:rsidP="008324BA">
            <w:pPr>
              <w:bidi w:val="0"/>
              <w:spacing w:line="312" w:lineRule="auto"/>
              <w:rPr>
                <w:rFonts w:eastAsia="Times New Roman"/>
                <w:i/>
                <w:iCs/>
                <w:sz w:val="16"/>
                <w:szCs w:val="16"/>
                <w:lang w:eastAsia="en-US" w:bidi="ar-SA"/>
              </w:rPr>
            </w:pPr>
            <w:r w:rsidRPr="0071786D">
              <w:rPr>
                <w:rFonts w:eastAsia="Times New Roman"/>
                <w:i/>
                <w:iCs/>
                <w:sz w:val="16"/>
                <w:szCs w:val="16"/>
                <w:lang w:eastAsia="en-US" w:bidi="ar-SA"/>
              </w:rPr>
              <w:t>Purchase from other countries</w:t>
            </w:r>
          </w:p>
        </w:tc>
        <w:tc>
          <w:tcPr>
            <w:tcW w:w="1393" w:type="dxa"/>
            <w:tcBorders>
              <w:top w:val="single" w:sz="12" w:space="0" w:color="auto"/>
              <w:bottom w:val="dotted" w:sz="4" w:space="0" w:color="auto"/>
            </w:tcBorders>
            <w:shd w:val="clear" w:color="auto" w:fill="auto"/>
            <w:noWrap/>
            <w:vAlign w:val="center"/>
            <w:hideMark/>
          </w:tcPr>
          <w:p w:rsidR="00B72C35" w:rsidRPr="0071786D" w:rsidRDefault="0071786D"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1,241</w:t>
            </w:r>
          </w:p>
        </w:tc>
        <w:tc>
          <w:tcPr>
            <w:tcW w:w="1160" w:type="dxa"/>
            <w:tcBorders>
              <w:top w:val="single" w:sz="12" w:space="0" w:color="auto"/>
              <w:bottom w:val="dotted" w:sz="4" w:space="0" w:color="auto"/>
            </w:tcBorders>
            <w:shd w:val="clear" w:color="auto" w:fill="auto"/>
            <w:noWrap/>
            <w:vAlign w:val="center"/>
            <w:hideMark/>
          </w:tcPr>
          <w:p w:rsidR="00B72C35" w:rsidRPr="0071786D" w:rsidRDefault="009C4DB6"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10.0</w:t>
            </w:r>
          </w:p>
        </w:tc>
        <w:tc>
          <w:tcPr>
            <w:tcW w:w="2511" w:type="dxa"/>
            <w:tcBorders>
              <w:top w:val="single" w:sz="12" w:space="0" w:color="auto"/>
              <w:bottom w:val="dotted" w:sz="4" w:space="0" w:color="auto"/>
            </w:tcBorders>
            <w:shd w:val="clear" w:color="auto" w:fill="auto"/>
            <w:noWrap/>
            <w:vAlign w:val="center"/>
            <w:hideMark/>
          </w:tcPr>
          <w:p w:rsidR="00B72C35" w:rsidRPr="0071786D" w:rsidRDefault="00786C06"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November (154)</w:t>
            </w:r>
          </w:p>
        </w:tc>
        <w:tc>
          <w:tcPr>
            <w:tcW w:w="2327" w:type="dxa"/>
            <w:tcBorders>
              <w:top w:val="single" w:sz="12" w:space="0" w:color="auto"/>
              <w:bottom w:val="dotted" w:sz="4" w:space="0" w:color="auto"/>
            </w:tcBorders>
            <w:shd w:val="clear" w:color="auto" w:fill="auto"/>
            <w:noWrap/>
            <w:vAlign w:val="center"/>
            <w:hideMark/>
          </w:tcPr>
          <w:p w:rsidR="00B72C35" w:rsidRPr="0071786D" w:rsidRDefault="00786C06" w:rsidP="008324BA">
            <w:pPr>
              <w:bidi w:val="0"/>
              <w:spacing w:line="312" w:lineRule="auto"/>
              <w:jc w:val="right"/>
              <w:rPr>
                <w:rFonts w:eastAsia="Times New Roman"/>
                <w:i/>
                <w:iCs/>
                <w:sz w:val="16"/>
                <w:szCs w:val="16"/>
                <w:lang w:eastAsia="en-US" w:bidi="ar-SA"/>
              </w:rPr>
            </w:pPr>
            <w:r>
              <w:rPr>
                <w:rFonts w:eastAsia="Times New Roman"/>
                <w:i/>
                <w:iCs/>
                <w:sz w:val="16"/>
                <w:szCs w:val="16"/>
                <w:lang w:eastAsia="en-US" w:bidi="ar-SA"/>
              </w:rPr>
              <w:t xml:space="preserve">November </w:t>
            </w:r>
            <w:r w:rsidR="002576CF">
              <w:rPr>
                <w:rFonts w:eastAsia="Times New Roman"/>
                <w:i/>
                <w:iCs/>
                <w:sz w:val="16"/>
                <w:szCs w:val="16"/>
                <w:lang w:eastAsia="en-US" w:bidi="ar-SA"/>
              </w:rPr>
              <w:t>(12.4)</w:t>
            </w:r>
          </w:p>
        </w:tc>
      </w:tr>
      <w:tr w:rsidR="00F25C09" w:rsidRPr="0071786D" w:rsidTr="00CE22CF">
        <w:trPr>
          <w:trHeight w:val="255"/>
          <w:jc w:val="center"/>
        </w:trPr>
        <w:tc>
          <w:tcPr>
            <w:tcW w:w="2337" w:type="dxa"/>
            <w:tcBorders>
              <w:top w:val="dotted" w:sz="4" w:space="0" w:color="auto"/>
              <w:bottom w:val="single" w:sz="12" w:space="0" w:color="auto"/>
            </w:tcBorders>
            <w:shd w:val="clear" w:color="auto" w:fill="auto"/>
            <w:vAlign w:val="center"/>
            <w:hideMark/>
          </w:tcPr>
          <w:p w:rsidR="00F25C09" w:rsidRPr="0071786D" w:rsidRDefault="00F25C09" w:rsidP="008324BA">
            <w:pPr>
              <w:bidi w:val="0"/>
              <w:spacing w:line="312" w:lineRule="auto"/>
              <w:rPr>
                <w:rFonts w:eastAsia="Times New Roman"/>
                <w:sz w:val="16"/>
                <w:szCs w:val="16"/>
                <w:lang w:eastAsia="en-US" w:bidi="ar-SA"/>
              </w:rPr>
            </w:pPr>
            <w:r w:rsidRPr="0071786D">
              <w:rPr>
                <w:rFonts w:eastAsia="Times New Roman"/>
                <w:sz w:val="16"/>
                <w:szCs w:val="16"/>
                <w:lang w:eastAsia="en-US" w:bidi="ar-SA"/>
              </w:rPr>
              <w:t>From Syria</w:t>
            </w:r>
          </w:p>
        </w:tc>
        <w:tc>
          <w:tcPr>
            <w:tcW w:w="1393" w:type="dxa"/>
            <w:tcBorders>
              <w:top w:val="dotted" w:sz="4" w:space="0" w:color="auto"/>
              <w:bottom w:val="single" w:sz="12" w:space="0" w:color="auto"/>
            </w:tcBorders>
            <w:shd w:val="clear" w:color="auto" w:fill="auto"/>
            <w:noWrap/>
            <w:vAlign w:val="center"/>
            <w:hideMark/>
          </w:tcPr>
          <w:p w:rsidR="00F25C09" w:rsidRPr="0071786D" w:rsidRDefault="009C4DB6"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792</w:t>
            </w:r>
          </w:p>
        </w:tc>
        <w:tc>
          <w:tcPr>
            <w:tcW w:w="1160" w:type="dxa"/>
            <w:tcBorders>
              <w:top w:val="dotted" w:sz="4" w:space="0" w:color="auto"/>
              <w:bottom w:val="single" w:sz="12" w:space="0" w:color="auto"/>
            </w:tcBorders>
            <w:shd w:val="clear" w:color="auto" w:fill="auto"/>
            <w:noWrap/>
            <w:vAlign w:val="center"/>
            <w:hideMark/>
          </w:tcPr>
          <w:p w:rsidR="00F25C09" w:rsidRPr="0071786D" w:rsidRDefault="009C4DB6"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63.9</w:t>
            </w:r>
          </w:p>
        </w:tc>
        <w:tc>
          <w:tcPr>
            <w:tcW w:w="2511" w:type="dxa"/>
            <w:tcBorders>
              <w:top w:val="dotted" w:sz="4" w:space="0" w:color="auto"/>
              <w:bottom w:val="single" w:sz="12" w:space="0" w:color="auto"/>
            </w:tcBorders>
            <w:shd w:val="clear" w:color="auto" w:fill="auto"/>
            <w:noWrap/>
            <w:vAlign w:val="center"/>
            <w:hideMark/>
          </w:tcPr>
          <w:p w:rsidR="00F25C09" w:rsidRPr="0071786D" w:rsidRDefault="002576CF"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October (97)</w:t>
            </w:r>
          </w:p>
        </w:tc>
        <w:tc>
          <w:tcPr>
            <w:tcW w:w="2327" w:type="dxa"/>
            <w:tcBorders>
              <w:top w:val="dotted" w:sz="4" w:space="0" w:color="auto"/>
              <w:bottom w:val="single" w:sz="12" w:space="0" w:color="auto"/>
            </w:tcBorders>
            <w:shd w:val="clear" w:color="auto" w:fill="auto"/>
            <w:noWrap/>
            <w:vAlign w:val="center"/>
            <w:hideMark/>
          </w:tcPr>
          <w:p w:rsidR="00F25C09" w:rsidRPr="0071786D" w:rsidRDefault="002576CF" w:rsidP="008324BA">
            <w:pPr>
              <w:bidi w:val="0"/>
              <w:spacing w:line="312" w:lineRule="auto"/>
              <w:jc w:val="right"/>
              <w:rPr>
                <w:rFonts w:eastAsia="Times New Roman"/>
                <w:sz w:val="16"/>
                <w:szCs w:val="16"/>
                <w:lang w:eastAsia="en-US" w:bidi="ar-SA"/>
              </w:rPr>
            </w:pPr>
            <w:r>
              <w:rPr>
                <w:rFonts w:eastAsia="Times New Roman"/>
                <w:sz w:val="16"/>
                <w:szCs w:val="16"/>
                <w:lang w:eastAsia="en-US" w:bidi="ar-SA"/>
              </w:rPr>
              <w:t>October (12.3)</w:t>
            </w:r>
          </w:p>
        </w:tc>
      </w:tr>
    </w:tbl>
    <w:p w:rsidR="00F25C09" w:rsidRDefault="00F25C09" w:rsidP="0071786D">
      <w:pPr>
        <w:bidi w:val="0"/>
        <w:jc w:val="center"/>
        <w:rPr>
          <w:sz w:val="22"/>
          <w:szCs w:val="22"/>
        </w:rPr>
      </w:pPr>
      <w:r w:rsidRPr="00FF61F1">
        <w:rPr>
          <w:i/>
          <w:iCs/>
          <w:sz w:val="18"/>
          <w:szCs w:val="18"/>
        </w:rPr>
        <w:t xml:space="preserve">Table made by CAS based on </w:t>
      </w:r>
      <w:r w:rsidRPr="00FF61F1">
        <w:rPr>
          <w:rFonts w:eastAsia="Times New Roman"/>
          <w:i/>
          <w:iCs/>
          <w:noProof/>
          <w:sz w:val="20"/>
          <w:szCs w:val="20"/>
        </w:rPr>
        <w:t>Electricité du Liban data (</w:t>
      </w:r>
      <w:r w:rsidR="0071786D">
        <w:rPr>
          <w:rFonts w:eastAsia="Times New Roman"/>
          <w:i/>
          <w:iCs/>
          <w:noProof/>
          <w:sz w:val="20"/>
          <w:szCs w:val="20"/>
        </w:rPr>
        <w:t>2010</w:t>
      </w:r>
      <w:r w:rsidRPr="00FF61F1">
        <w:rPr>
          <w:rFonts w:eastAsia="Times New Roman"/>
          <w:i/>
          <w:iCs/>
          <w:noProof/>
          <w:sz w:val="20"/>
          <w:szCs w:val="20"/>
        </w:rPr>
        <w:t>)</w:t>
      </w:r>
      <w:r w:rsidR="005B13C6">
        <w:rPr>
          <w:sz w:val="22"/>
          <w:szCs w:val="22"/>
        </w:rPr>
        <w:t xml:space="preserve"> </w:t>
      </w:r>
    </w:p>
    <w:p w:rsidR="00F25C09" w:rsidRDefault="00F25C09" w:rsidP="00F25C09">
      <w:pPr>
        <w:bidi w:val="0"/>
        <w:jc w:val="both"/>
        <w:rPr>
          <w:sz w:val="22"/>
          <w:szCs w:val="22"/>
        </w:rPr>
      </w:pPr>
    </w:p>
    <w:p w:rsidR="00E37EB8" w:rsidRDefault="00FD4C58" w:rsidP="00FD4C58">
      <w:pPr>
        <w:bidi w:val="0"/>
        <w:jc w:val="center"/>
        <w:rPr>
          <w:b/>
          <w:bCs/>
          <w:noProof/>
          <w:sz w:val="26"/>
          <w:szCs w:val="26"/>
        </w:rPr>
      </w:pPr>
      <w:r w:rsidRPr="00F00653">
        <w:rPr>
          <w:b/>
          <w:bCs/>
          <w:noProof/>
          <w:sz w:val="26"/>
          <w:szCs w:val="26"/>
        </w:rPr>
        <w:t>Imports of petroleum products</w:t>
      </w:r>
    </w:p>
    <w:p w:rsidR="003A4F65" w:rsidRPr="00F00653" w:rsidRDefault="003A4F65" w:rsidP="003A4F65">
      <w:pPr>
        <w:bidi w:val="0"/>
        <w:jc w:val="center"/>
        <w:rPr>
          <w:b/>
          <w:bCs/>
          <w:noProof/>
          <w:sz w:val="26"/>
          <w:szCs w:val="26"/>
        </w:rPr>
      </w:pPr>
    </w:p>
    <w:p w:rsidR="00E37EB8" w:rsidRDefault="00CE22CF" w:rsidP="00CE22CF">
      <w:pPr>
        <w:bidi w:val="0"/>
        <w:spacing w:line="264" w:lineRule="auto"/>
        <w:jc w:val="both"/>
        <w:rPr>
          <w:noProof/>
          <w:sz w:val="22"/>
          <w:szCs w:val="22"/>
        </w:rPr>
      </w:pPr>
      <w:r>
        <w:rPr>
          <w:noProof/>
          <w:sz w:val="22"/>
          <w:szCs w:val="22"/>
        </w:rPr>
        <w:t>P</w:t>
      </w:r>
      <w:r w:rsidR="00FD4C58" w:rsidRPr="00FF61F1">
        <w:rPr>
          <w:noProof/>
          <w:sz w:val="22"/>
          <w:szCs w:val="22"/>
        </w:rPr>
        <w:t>etroleum products are of several types: liquid gas, unleaded petrol 98 and 95 Ooctane, kerosene for aircraft, imported oil by the private sector (Diesel oil), imported oil by the Ministry of Energy and Water for Electricité du Liban and for the local market (imported through the refineries of Tripoli and Zahrani), imported fuel-oil by the Ministry of Energy and Water for Electricité du Liban</w:t>
      </w:r>
      <w:r w:rsidR="008E5B94" w:rsidRPr="00FF61F1">
        <w:rPr>
          <w:noProof/>
          <w:sz w:val="22"/>
          <w:szCs w:val="22"/>
        </w:rPr>
        <w:t xml:space="preserve"> and asphalt.</w:t>
      </w:r>
    </w:p>
    <w:p w:rsidR="008E5B94" w:rsidRPr="00FF61F1" w:rsidRDefault="008E5B94" w:rsidP="008E5B94">
      <w:pPr>
        <w:bidi w:val="0"/>
        <w:jc w:val="both"/>
        <w:rPr>
          <w:noProof/>
          <w:sz w:val="22"/>
          <w:szCs w:val="22"/>
        </w:rPr>
      </w:pPr>
    </w:p>
    <w:p w:rsidR="00A76A93" w:rsidRPr="00B53A20" w:rsidRDefault="00A76A93" w:rsidP="00B53A20">
      <w:pPr>
        <w:bidi w:val="0"/>
        <w:jc w:val="center"/>
        <w:outlineLvl w:val="0"/>
        <w:rPr>
          <w:b/>
          <w:bCs/>
          <w:sz w:val="22"/>
          <w:szCs w:val="22"/>
        </w:rPr>
      </w:pPr>
      <w:bookmarkStart w:id="4" w:name="_Toc263093748"/>
      <w:r w:rsidRPr="00B53A20">
        <w:rPr>
          <w:b/>
          <w:bCs/>
          <w:sz w:val="22"/>
          <w:szCs w:val="22"/>
        </w:rPr>
        <w:t xml:space="preserve">Table </w:t>
      </w:r>
      <w:r w:rsidR="0079415D" w:rsidRPr="00B53A20">
        <w:rPr>
          <w:b/>
          <w:bCs/>
          <w:sz w:val="22"/>
          <w:szCs w:val="22"/>
        </w:rPr>
        <w:t>5.4</w:t>
      </w:r>
      <w:r w:rsidRPr="00B53A20">
        <w:rPr>
          <w:b/>
          <w:bCs/>
          <w:sz w:val="22"/>
          <w:szCs w:val="22"/>
        </w:rPr>
        <w:t xml:space="preserve"> – Imports of oil products</w:t>
      </w:r>
      <w:r w:rsidR="00CE22CF" w:rsidRPr="00B53A20">
        <w:rPr>
          <w:b/>
          <w:bCs/>
          <w:sz w:val="22"/>
          <w:szCs w:val="22"/>
        </w:rPr>
        <w:t>. T</w:t>
      </w:r>
      <w:r w:rsidRPr="00B53A20">
        <w:rPr>
          <w:b/>
          <w:bCs/>
          <w:sz w:val="22"/>
          <w:szCs w:val="22"/>
        </w:rPr>
        <w:t>on</w:t>
      </w:r>
      <w:r w:rsidR="00AB151D" w:rsidRPr="00B53A20">
        <w:rPr>
          <w:b/>
          <w:bCs/>
          <w:sz w:val="22"/>
          <w:szCs w:val="22"/>
        </w:rPr>
        <w:t>ne</w:t>
      </w:r>
      <w:r w:rsidRPr="00B53A20">
        <w:rPr>
          <w:b/>
          <w:bCs/>
          <w:sz w:val="22"/>
          <w:szCs w:val="22"/>
        </w:rPr>
        <w:t xml:space="preserve">s in </w:t>
      </w:r>
      <w:bookmarkEnd w:id="4"/>
      <w:r w:rsidR="00B53A20" w:rsidRPr="00B53A20">
        <w:rPr>
          <w:b/>
          <w:bCs/>
          <w:sz w:val="22"/>
          <w:szCs w:val="22"/>
        </w:rPr>
        <w:t>2010</w:t>
      </w:r>
      <w:r w:rsidRPr="00B53A20">
        <w:rPr>
          <w:b/>
          <w:bCs/>
          <w:sz w:val="22"/>
          <w:szCs w:val="22"/>
        </w:rPr>
        <w:t xml:space="preserve"> </w:t>
      </w:r>
    </w:p>
    <w:tbl>
      <w:tblPr>
        <w:tblW w:w="9615" w:type="dxa"/>
        <w:jc w:val="center"/>
        <w:tblInd w:w="-166" w:type="dxa"/>
        <w:tblBorders>
          <w:top w:val="single" w:sz="12" w:space="0" w:color="auto"/>
          <w:bottom w:val="single" w:sz="12" w:space="0" w:color="auto"/>
          <w:insideH w:val="single" w:sz="12" w:space="0" w:color="auto"/>
        </w:tblBorders>
        <w:tblLook w:val="04A0"/>
      </w:tblPr>
      <w:tblGrid>
        <w:gridCol w:w="3616"/>
        <w:gridCol w:w="1116"/>
        <w:gridCol w:w="2556"/>
        <w:gridCol w:w="2327"/>
      </w:tblGrid>
      <w:tr w:rsidR="00A76A93" w:rsidRPr="00BD1750" w:rsidTr="00A50ACD">
        <w:trPr>
          <w:trHeight w:val="330"/>
          <w:jc w:val="center"/>
        </w:trPr>
        <w:tc>
          <w:tcPr>
            <w:tcW w:w="3616" w:type="dxa"/>
            <w:tcBorders>
              <w:bottom w:val="single" w:sz="12" w:space="0" w:color="auto"/>
            </w:tcBorders>
            <w:shd w:val="clear" w:color="auto" w:fill="auto"/>
            <w:vAlign w:val="center"/>
            <w:hideMark/>
          </w:tcPr>
          <w:p w:rsidR="00A76A93" w:rsidRPr="00BD1750" w:rsidRDefault="00A76A93" w:rsidP="008324BA">
            <w:pPr>
              <w:bidi w:val="0"/>
              <w:spacing w:line="312" w:lineRule="auto"/>
              <w:rPr>
                <w:rFonts w:asciiTheme="majorBidi" w:eastAsia="Times New Roman" w:hAnsiTheme="majorBidi" w:cstheme="majorBidi"/>
                <w:b/>
                <w:bCs/>
                <w:sz w:val="16"/>
                <w:szCs w:val="16"/>
                <w:lang w:eastAsia="en-US" w:bidi="ar-SA"/>
              </w:rPr>
            </w:pPr>
            <w:r w:rsidRPr="00BD1750">
              <w:rPr>
                <w:rFonts w:asciiTheme="majorBidi" w:eastAsia="Times New Roman" w:hAnsiTheme="majorBidi" w:cstheme="majorBidi"/>
                <w:b/>
                <w:bCs/>
                <w:sz w:val="16"/>
                <w:szCs w:val="16"/>
                <w:lang w:eastAsia="en-US" w:bidi="ar-SA"/>
              </w:rPr>
              <w:t>Oil products</w:t>
            </w:r>
          </w:p>
        </w:tc>
        <w:tc>
          <w:tcPr>
            <w:tcW w:w="1116" w:type="dxa"/>
            <w:tcBorders>
              <w:bottom w:val="single" w:sz="12" w:space="0" w:color="auto"/>
            </w:tcBorders>
            <w:shd w:val="clear" w:color="auto" w:fill="auto"/>
            <w:noWrap/>
            <w:vAlign w:val="center"/>
            <w:hideMark/>
          </w:tcPr>
          <w:p w:rsidR="00A76A93" w:rsidRPr="00BD1750" w:rsidRDefault="00A76A93" w:rsidP="008324BA">
            <w:pPr>
              <w:bidi w:val="0"/>
              <w:spacing w:line="312" w:lineRule="auto"/>
              <w:jc w:val="right"/>
              <w:rPr>
                <w:rFonts w:asciiTheme="majorBidi" w:eastAsia="Times New Roman" w:hAnsiTheme="majorBidi" w:cstheme="majorBidi"/>
                <w:b/>
                <w:bCs/>
                <w:sz w:val="16"/>
                <w:szCs w:val="16"/>
                <w:lang w:eastAsia="en-US" w:bidi="ar-SA"/>
              </w:rPr>
            </w:pPr>
            <w:r w:rsidRPr="00BD1750">
              <w:rPr>
                <w:rFonts w:asciiTheme="majorBidi" w:eastAsia="Times New Roman" w:hAnsiTheme="majorBidi" w:cstheme="majorBidi"/>
                <w:b/>
                <w:bCs/>
                <w:sz w:val="16"/>
                <w:szCs w:val="16"/>
                <w:lang w:eastAsia="en-US" w:bidi="ar-SA"/>
              </w:rPr>
              <w:t>Ton</w:t>
            </w:r>
            <w:r w:rsidR="00AB151D" w:rsidRPr="00BD1750">
              <w:rPr>
                <w:rFonts w:asciiTheme="majorBidi" w:eastAsia="Times New Roman" w:hAnsiTheme="majorBidi" w:cstheme="majorBidi"/>
                <w:b/>
                <w:bCs/>
                <w:sz w:val="16"/>
                <w:szCs w:val="16"/>
                <w:lang w:eastAsia="en-US" w:bidi="ar-SA"/>
              </w:rPr>
              <w:t>ne</w:t>
            </w:r>
            <w:r w:rsidRPr="00BD1750">
              <w:rPr>
                <w:rFonts w:asciiTheme="majorBidi" w:eastAsia="Times New Roman" w:hAnsiTheme="majorBidi" w:cstheme="majorBidi"/>
                <w:b/>
                <w:bCs/>
                <w:sz w:val="16"/>
                <w:szCs w:val="16"/>
                <w:lang w:eastAsia="en-US" w:bidi="ar-SA"/>
              </w:rPr>
              <w:t>s</w:t>
            </w:r>
          </w:p>
        </w:tc>
        <w:tc>
          <w:tcPr>
            <w:tcW w:w="2556" w:type="dxa"/>
            <w:tcBorders>
              <w:bottom w:val="single" w:sz="12" w:space="0" w:color="auto"/>
            </w:tcBorders>
            <w:shd w:val="clear" w:color="auto" w:fill="auto"/>
            <w:noWrap/>
            <w:vAlign w:val="center"/>
            <w:hideMark/>
          </w:tcPr>
          <w:p w:rsidR="00A76A93" w:rsidRPr="00BD1750" w:rsidRDefault="00A76A93" w:rsidP="008324BA">
            <w:pPr>
              <w:bidi w:val="0"/>
              <w:spacing w:line="312" w:lineRule="auto"/>
              <w:jc w:val="right"/>
              <w:rPr>
                <w:rFonts w:asciiTheme="majorBidi" w:eastAsia="Times New Roman" w:hAnsiTheme="majorBidi" w:cstheme="majorBidi"/>
                <w:b/>
                <w:bCs/>
                <w:sz w:val="16"/>
                <w:szCs w:val="16"/>
                <w:lang w:eastAsia="en-US" w:bidi="ar-SA"/>
              </w:rPr>
            </w:pPr>
            <w:r w:rsidRPr="00BD1750">
              <w:rPr>
                <w:rFonts w:asciiTheme="majorBidi" w:eastAsia="Times New Roman" w:hAnsiTheme="majorBidi" w:cstheme="majorBidi"/>
                <w:b/>
                <w:bCs/>
                <w:sz w:val="16"/>
                <w:szCs w:val="16"/>
                <w:lang w:eastAsia="en-US" w:bidi="ar-SA"/>
              </w:rPr>
              <w:t xml:space="preserve">Peak </w:t>
            </w:r>
            <w:r w:rsidR="002E6C82" w:rsidRPr="00BD1750">
              <w:rPr>
                <w:rFonts w:asciiTheme="majorBidi" w:eastAsia="Times New Roman" w:hAnsiTheme="majorBidi" w:cstheme="majorBidi"/>
                <w:b/>
                <w:bCs/>
                <w:sz w:val="16"/>
                <w:szCs w:val="16"/>
                <w:lang w:eastAsia="en-US" w:bidi="ar-SA"/>
              </w:rPr>
              <w:t>m</w:t>
            </w:r>
            <w:r w:rsidRPr="00BD1750">
              <w:rPr>
                <w:rFonts w:asciiTheme="majorBidi" w:eastAsia="Times New Roman" w:hAnsiTheme="majorBidi" w:cstheme="majorBidi"/>
                <w:b/>
                <w:bCs/>
                <w:sz w:val="16"/>
                <w:szCs w:val="16"/>
                <w:lang w:eastAsia="en-US" w:bidi="ar-SA"/>
              </w:rPr>
              <w:t>onth</w:t>
            </w:r>
            <w:r w:rsidR="009D0F07" w:rsidRPr="00BD1750">
              <w:rPr>
                <w:rFonts w:asciiTheme="majorBidi" w:eastAsia="Times New Roman" w:hAnsiTheme="majorBidi" w:cstheme="majorBidi"/>
                <w:b/>
                <w:bCs/>
                <w:sz w:val="16"/>
                <w:szCs w:val="16"/>
                <w:lang w:eastAsia="en-US" w:bidi="ar-SA"/>
              </w:rPr>
              <w:t>. T</w:t>
            </w:r>
            <w:r w:rsidR="0030016B" w:rsidRPr="00BD1750">
              <w:rPr>
                <w:rFonts w:asciiTheme="majorBidi" w:eastAsia="Times New Roman" w:hAnsiTheme="majorBidi" w:cstheme="majorBidi"/>
                <w:b/>
                <w:bCs/>
                <w:sz w:val="16"/>
                <w:szCs w:val="16"/>
                <w:lang w:eastAsia="en-US" w:bidi="ar-SA"/>
              </w:rPr>
              <w:t>on</w:t>
            </w:r>
            <w:r w:rsidR="00AB151D" w:rsidRPr="00BD1750">
              <w:rPr>
                <w:rFonts w:asciiTheme="majorBidi" w:eastAsia="Times New Roman" w:hAnsiTheme="majorBidi" w:cstheme="majorBidi"/>
                <w:b/>
                <w:bCs/>
                <w:sz w:val="16"/>
                <w:szCs w:val="16"/>
                <w:lang w:eastAsia="en-US" w:bidi="ar-SA"/>
              </w:rPr>
              <w:t>ne</w:t>
            </w:r>
            <w:r w:rsidR="0030016B" w:rsidRPr="00BD1750">
              <w:rPr>
                <w:rFonts w:asciiTheme="majorBidi" w:eastAsia="Times New Roman" w:hAnsiTheme="majorBidi" w:cstheme="majorBidi"/>
                <w:b/>
                <w:bCs/>
                <w:sz w:val="16"/>
                <w:szCs w:val="16"/>
                <w:lang w:eastAsia="en-US" w:bidi="ar-SA"/>
              </w:rPr>
              <w:t>s</w:t>
            </w:r>
          </w:p>
        </w:tc>
        <w:tc>
          <w:tcPr>
            <w:tcW w:w="2327" w:type="dxa"/>
            <w:tcBorders>
              <w:bottom w:val="single" w:sz="12" w:space="0" w:color="auto"/>
            </w:tcBorders>
            <w:shd w:val="clear" w:color="auto" w:fill="auto"/>
            <w:noWrap/>
            <w:vAlign w:val="center"/>
            <w:hideMark/>
          </w:tcPr>
          <w:p w:rsidR="00A76A93" w:rsidRPr="00BD1750" w:rsidRDefault="00A76A93" w:rsidP="008324BA">
            <w:pPr>
              <w:bidi w:val="0"/>
              <w:spacing w:line="312" w:lineRule="auto"/>
              <w:jc w:val="right"/>
              <w:rPr>
                <w:rFonts w:asciiTheme="majorBidi" w:eastAsia="Times New Roman" w:hAnsiTheme="majorBidi" w:cstheme="majorBidi"/>
                <w:b/>
                <w:bCs/>
                <w:sz w:val="16"/>
                <w:szCs w:val="16"/>
                <w:lang w:eastAsia="en-US" w:bidi="ar-SA"/>
              </w:rPr>
            </w:pPr>
            <w:r w:rsidRPr="00BD1750">
              <w:rPr>
                <w:rFonts w:asciiTheme="majorBidi" w:eastAsia="Times New Roman" w:hAnsiTheme="majorBidi" w:cstheme="majorBidi"/>
                <w:b/>
                <w:bCs/>
                <w:sz w:val="16"/>
                <w:szCs w:val="16"/>
                <w:lang w:eastAsia="en-US" w:bidi="ar-SA"/>
              </w:rPr>
              <w:t>Peak month</w:t>
            </w:r>
            <w:r w:rsidR="009D0F07" w:rsidRPr="00BD1750">
              <w:rPr>
                <w:rFonts w:asciiTheme="majorBidi" w:eastAsia="Times New Roman" w:hAnsiTheme="majorBidi" w:cstheme="majorBidi"/>
                <w:b/>
                <w:bCs/>
                <w:sz w:val="16"/>
                <w:szCs w:val="16"/>
                <w:lang w:eastAsia="en-US" w:bidi="ar-SA"/>
              </w:rPr>
              <w:t xml:space="preserve">. </w:t>
            </w:r>
            <w:r w:rsidR="00AB151D" w:rsidRPr="00BD1750">
              <w:rPr>
                <w:rFonts w:asciiTheme="majorBidi" w:eastAsia="Times New Roman" w:hAnsiTheme="majorBidi" w:cstheme="majorBidi"/>
                <w:b/>
                <w:bCs/>
                <w:sz w:val="16"/>
                <w:szCs w:val="16"/>
                <w:lang w:eastAsia="en-US" w:bidi="ar-SA"/>
              </w:rPr>
              <w:t>%</w:t>
            </w:r>
          </w:p>
        </w:tc>
      </w:tr>
      <w:tr w:rsidR="00A50ACD" w:rsidRPr="00BD1750" w:rsidTr="00A50ACD">
        <w:trPr>
          <w:trHeight w:val="255"/>
          <w:jc w:val="center"/>
        </w:trPr>
        <w:tc>
          <w:tcPr>
            <w:tcW w:w="3616" w:type="dxa"/>
            <w:tcBorders>
              <w:top w:val="single" w:sz="12" w:space="0" w:color="auto"/>
              <w:bottom w:val="dotted" w:sz="4" w:space="0" w:color="auto"/>
            </w:tcBorders>
            <w:shd w:val="clear" w:color="auto" w:fill="auto"/>
            <w:vAlign w:val="center"/>
            <w:hideMark/>
          </w:tcPr>
          <w:p w:rsidR="00A50ACD" w:rsidRPr="00BD1750" w:rsidRDefault="00A50ACD" w:rsidP="008324BA">
            <w:pPr>
              <w:bidi w:val="0"/>
              <w:spacing w:line="312" w:lineRule="auto"/>
              <w:rPr>
                <w:rFonts w:asciiTheme="majorBidi" w:eastAsia="Times New Roman" w:hAnsiTheme="majorBidi" w:cstheme="majorBidi"/>
                <w:i/>
                <w:iCs/>
                <w:sz w:val="16"/>
                <w:szCs w:val="16"/>
                <w:lang w:eastAsia="en-US" w:bidi="ar-SA"/>
              </w:rPr>
            </w:pPr>
            <w:r w:rsidRPr="00BD1750">
              <w:rPr>
                <w:rFonts w:asciiTheme="majorBidi" w:eastAsia="Times New Roman" w:hAnsiTheme="majorBidi" w:cstheme="majorBidi"/>
                <w:i/>
                <w:iCs/>
                <w:sz w:val="16"/>
                <w:szCs w:val="16"/>
                <w:lang w:eastAsia="en-US" w:bidi="ar-SA"/>
              </w:rPr>
              <w:t>Ministry of Energy and Water (MEW)</w:t>
            </w:r>
          </w:p>
        </w:tc>
        <w:tc>
          <w:tcPr>
            <w:tcW w:w="1116" w:type="dxa"/>
            <w:tcBorders>
              <w:top w:val="single" w:sz="12" w:space="0" w:color="auto"/>
              <w:bottom w:val="dotted" w:sz="4" w:space="0" w:color="auto"/>
            </w:tcBorders>
            <w:shd w:val="clear" w:color="auto" w:fill="auto"/>
            <w:noWrap/>
            <w:vAlign w:val="center"/>
            <w:hideMark/>
          </w:tcPr>
          <w:p w:rsidR="00A50ACD" w:rsidRPr="00BD1750" w:rsidRDefault="00B805D6" w:rsidP="008324BA">
            <w:pPr>
              <w:bidi w:val="0"/>
              <w:spacing w:line="312" w:lineRule="auto"/>
              <w:jc w:val="right"/>
              <w:rPr>
                <w:rFonts w:asciiTheme="majorBidi" w:hAnsiTheme="majorBidi" w:cstheme="majorBidi"/>
                <w:i/>
                <w:iCs/>
                <w:sz w:val="16"/>
                <w:szCs w:val="16"/>
              </w:rPr>
            </w:pPr>
            <w:r w:rsidRPr="00BD1750">
              <w:rPr>
                <w:rFonts w:asciiTheme="majorBidi" w:hAnsiTheme="majorBidi" w:cstheme="majorBidi"/>
                <w:i/>
                <w:iCs/>
                <w:sz w:val="16"/>
                <w:szCs w:val="16"/>
              </w:rPr>
              <w:t>3,665,759</w:t>
            </w:r>
          </w:p>
        </w:tc>
        <w:tc>
          <w:tcPr>
            <w:tcW w:w="2556" w:type="dxa"/>
            <w:tcBorders>
              <w:top w:val="single" w:sz="12" w:space="0" w:color="auto"/>
              <w:bottom w:val="dotted" w:sz="4" w:space="0" w:color="auto"/>
            </w:tcBorders>
            <w:shd w:val="clear" w:color="auto" w:fill="auto"/>
            <w:noWrap/>
            <w:vAlign w:val="center"/>
            <w:hideMark/>
          </w:tcPr>
          <w:p w:rsidR="00A50ACD" w:rsidRPr="00BD1750" w:rsidRDefault="008A3F5A" w:rsidP="008324BA">
            <w:pPr>
              <w:bidi w:val="0"/>
              <w:spacing w:line="312" w:lineRule="auto"/>
              <w:jc w:val="right"/>
              <w:rPr>
                <w:rFonts w:asciiTheme="majorBidi" w:eastAsia="Times New Roman" w:hAnsiTheme="majorBidi" w:cstheme="majorBidi"/>
                <w:i/>
                <w:iCs/>
                <w:sz w:val="16"/>
                <w:szCs w:val="16"/>
                <w:lang w:eastAsia="en-US" w:bidi="ar-SA"/>
              </w:rPr>
            </w:pPr>
            <w:r>
              <w:rPr>
                <w:rFonts w:asciiTheme="majorBidi" w:eastAsia="Times New Roman" w:hAnsiTheme="majorBidi" w:cstheme="majorBidi"/>
                <w:i/>
                <w:iCs/>
                <w:sz w:val="16"/>
                <w:szCs w:val="16"/>
                <w:lang w:eastAsia="en-US" w:bidi="ar-SA"/>
              </w:rPr>
              <w:t>May</w:t>
            </w:r>
            <w:r w:rsidR="008B7503">
              <w:rPr>
                <w:rFonts w:asciiTheme="majorBidi" w:eastAsia="Times New Roman" w:hAnsiTheme="majorBidi" w:cstheme="majorBidi"/>
                <w:i/>
                <w:iCs/>
                <w:sz w:val="16"/>
                <w:szCs w:val="16"/>
                <w:lang w:eastAsia="en-US" w:bidi="ar-SA"/>
              </w:rPr>
              <w:t xml:space="preserve"> (</w:t>
            </w:r>
            <w:r w:rsidRPr="008A3F5A">
              <w:rPr>
                <w:rFonts w:asciiTheme="majorBidi" w:eastAsia="Times New Roman" w:hAnsiTheme="majorBidi" w:cstheme="majorBidi"/>
                <w:i/>
                <w:iCs/>
                <w:sz w:val="16"/>
                <w:szCs w:val="16"/>
                <w:lang w:eastAsia="en-US" w:bidi="ar-SA"/>
              </w:rPr>
              <w:t>778</w:t>
            </w:r>
            <w:r>
              <w:rPr>
                <w:rFonts w:asciiTheme="majorBidi" w:eastAsia="Times New Roman" w:hAnsiTheme="majorBidi" w:cstheme="majorBidi"/>
                <w:i/>
                <w:iCs/>
                <w:sz w:val="16"/>
                <w:szCs w:val="16"/>
                <w:lang w:eastAsia="en-US" w:bidi="ar-SA"/>
              </w:rPr>
              <w:t>,</w:t>
            </w:r>
            <w:r w:rsidRPr="008A3F5A">
              <w:rPr>
                <w:rFonts w:asciiTheme="majorBidi" w:eastAsia="Times New Roman" w:hAnsiTheme="majorBidi" w:cstheme="majorBidi"/>
                <w:i/>
                <w:iCs/>
                <w:sz w:val="16"/>
                <w:szCs w:val="16"/>
                <w:lang w:eastAsia="en-US" w:bidi="ar-SA"/>
              </w:rPr>
              <w:t>464</w:t>
            </w:r>
            <w:r w:rsidR="008B7503">
              <w:rPr>
                <w:rFonts w:asciiTheme="majorBidi" w:eastAsia="Times New Roman" w:hAnsiTheme="majorBidi" w:cstheme="majorBidi"/>
                <w:i/>
                <w:iCs/>
                <w:sz w:val="16"/>
                <w:szCs w:val="16"/>
                <w:lang w:eastAsia="en-US" w:bidi="ar-SA"/>
              </w:rPr>
              <w:t>)</w:t>
            </w:r>
          </w:p>
        </w:tc>
        <w:tc>
          <w:tcPr>
            <w:tcW w:w="2327" w:type="dxa"/>
            <w:tcBorders>
              <w:top w:val="single" w:sz="12" w:space="0" w:color="auto"/>
              <w:bottom w:val="dotted" w:sz="4" w:space="0" w:color="auto"/>
            </w:tcBorders>
            <w:shd w:val="clear" w:color="auto" w:fill="auto"/>
            <w:noWrap/>
            <w:vAlign w:val="center"/>
            <w:hideMark/>
          </w:tcPr>
          <w:p w:rsidR="00A50ACD" w:rsidRPr="00BD1750" w:rsidRDefault="008A3F5A" w:rsidP="008324BA">
            <w:pPr>
              <w:bidi w:val="0"/>
              <w:spacing w:line="312" w:lineRule="auto"/>
              <w:jc w:val="right"/>
              <w:rPr>
                <w:rFonts w:asciiTheme="majorBidi" w:eastAsia="Times New Roman" w:hAnsiTheme="majorBidi" w:cstheme="majorBidi"/>
                <w:i/>
                <w:iCs/>
                <w:sz w:val="16"/>
                <w:szCs w:val="16"/>
                <w:lang w:eastAsia="en-US" w:bidi="ar-SA"/>
              </w:rPr>
            </w:pPr>
            <w:r>
              <w:rPr>
                <w:rFonts w:asciiTheme="majorBidi" w:eastAsia="Times New Roman" w:hAnsiTheme="majorBidi" w:cstheme="majorBidi"/>
                <w:i/>
                <w:iCs/>
                <w:sz w:val="16"/>
                <w:szCs w:val="16"/>
                <w:lang w:eastAsia="en-US" w:bidi="ar-SA"/>
              </w:rPr>
              <w:t>May</w:t>
            </w:r>
            <w:r w:rsidR="008B7503">
              <w:rPr>
                <w:rFonts w:asciiTheme="majorBidi" w:eastAsia="Times New Roman" w:hAnsiTheme="majorBidi" w:cstheme="majorBidi"/>
                <w:i/>
                <w:iCs/>
                <w:sz w:val="16"/>
                <w:szCs w:val="16"/>
                <w:lang w:eastAsia="en-US" w:bidi="ar-SA"/>
              </w:rPr>
              <w:t xml:space="preserve"> (</w:t>
            </w:r>
            <w:r>
              <w:rPr>
                <w:rFonts w:asciiTheme="majorBidi" w:eastAsia="Times New Roman" w:hAnsiTheme="majorBidi" w:cstheme="majorBidi"/>
                <w:i/>
                <w:iCs/>
                <w:sz w:val="16"/>
                <w:szCs w:val="16"/>
                <w:lang w:eastAsia="en-US" w:bidi="ar-SA"/>
              </w:rPr>
              <w:t>21.2</w:t>
            </w:r>
            <w:r w:rsidR="008B7503">
              <w:rPr>
                <w:rFonts w:asciiTheme="majorBidi" w:eastAsia="Times New Roman" w:hAnsiTheme="majorBidi" w:cstheme="majorBidi"/>
                <w:i/>
                <w:iCs/>
                <w:sz w:val="16"/>
                <w:szCs w:val="16"/>
                <w:lang w:eastAsia="en-US" w:bidi="ar-SA"/>
              </w:rPr>
              <w:t>)</w:t>
            </w:r>
          </w:p>
        </w:tc>
      </w:tr>
      <w:tr w:rsidR="00B805D6" w:rsidRPr="00BD1750" w:rsidTr="00A50ACD">
        <w:trPr>
          <w:trHeight w:val="255"/>
          <w:jc w:val="center"/>
        </w:trPr>
        <w:tc>
          <w:tcPr>
            <w:tcW w:w="3616" w:type="dxa"/>
            <w:tcBorders>
              <w:top w:val="single" w:sz="12" w:space="0" w:color="auto"/>
              <w:bottom w:val="dotted" w:sz="4" w:space="0" w:color="auto"/>
            </w:tcBorders>
            <w:shd w:val="clear" w:color="auto" w:fill="auto"/>
            <w:vAlign w:val="center"/>
            <w:hideMark/>
          </w:tcPr>
          <w:p w:rsidR="00B805D6" w:rsidRPr="00BD1750" w:rsidRDefault="00B805D6"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Imported oil by the Ministry of Energy and Water for EDL</w:t>
            </w:r>
          </w:p>
        </w:tc>
        <w:tc>
          <w:tcPr>
            <w:tcW w:w="1116" w:type="dxa"/>
            <w:tcBorders>
              <w:top w:val="single" w:sz="12" w:space="0" w:color="auto"/>
              <w:bottom w:val="dotted" w:sz="4" w:space="0" w:color="auto"/>
            </w:tcBorders>
            <w:shd w:val="clear" w:color="auto" w:fill="auto"/>
            <w:noWrap/>
            <w:vAlign w:val="center"/>
            <w:hideMark/>
          </w:tcPr>
          <w:p w:rsidR="00B805D6" w:rsidRPr="00BD1750" w:rsidRDefault="00B805D6"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1,524,288 </w:t>
            </w:r>
          </w:p>
        </w:tc>
        <w:tc>
          <w:tcPr>
            <w:tcW w:w="2556" w:type="dxa"/>
            <w:tcBorders>
              <w:top w:val="single" w:sz="12" w:space="0" w:color="auto"/>
              <w:bottom w:val="dotted" w:sz="4" w:space="0" w:color="auto"/>
            </w:tcBorders>
            <w:shd w:val="clear" w:color="auto" w:fill="auto"/>
            <w:noWrap/>
            <w:vAlign w:val="center"/>
            <w:hideMark/>
          </w:tcPr>
          <w:p w:rsidR="00B805D6" w:rsidRPr="00BD1750" w:rsidRDefault="008A3F5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 xml:space="preserve">May </w:t>
            </w:r>
            <w:r w:rsidR="000415DE">
              <w:rPr>
                <w:rFonts w:asciiTheme="majorBidi" w:eastAsia="Times New Roman" w:hAnsiTheme="majorBidi" w:cstheme="majorBidi"/>
                <w:sz w:val="16"/>
                <w:szCs w:val="16"/>
                <w:lang w:eastAsia="en-US" w:bidi="ar-SA"/>
              </w:rPr>
              <w:t>(</w:t>
            </w:r>
            <w:r w:rsidRPr="008A3F5A">
              <w:rPr>
                <w:rFonts w:asciiTheme="majorBidi" w:eastAsia="Times New Roman" w:hAnsiTheme="majorBidi" w:cstheme="majorBidi"/>
                <w:sz w:val="16"/>
                <w:szCs w:val="16"/>
                <w:lang w:eastAsia="en-US" w:bidi="ar-SA"/>
              </w:rPr>
              <w:t>587</w:t>
            </w:r>
            <w:r>
              <w:rPr>
                <w:rFonts w:asciiTheme="majorBidi" w:eastAsia="Times New Roman" w:hAnsiTheme="majorBidi" w:cstheme="majorBidi"/>
                <w:sz w:val="16"/>
                <w:szCs w:val="16"/>
                <w:lang w:eastAsia="en-US" w:bidi="ar-SA"/>
              </w:rPr>
              <w:t>,</w:t>
            </w:r>
            <w:r w:rsidRPr="008A3F5A">
              <w:rPr>
                <w:rFonts w:asciiTheme="majorBidi" w:eastAsia="Times New Roman" w:hAnsiTheme="majorBidi" w:cstheme="majorBidi"/>
                <w:sz w:val="16"/>
                <w:szCs w:val="16"/>
                <w:lang w:eastAsia="en-US" w:bidi="ar-SA"/>
              </w:rPr>
              <w:t>087</w:t>
            </w:r>
            <w:r w:rsidR="000415DE">
              <w:rPr>
                <w:rFonts w:asciiTheme="majorBidi" w:eastAsia="Times New Roman" w:hAnsiTheme="majorBidi" w:cstheme="majorBidi"/>
                <w:sz w:val="16"/>
                <w:szCs w:val="16"/>
                <w:lang w:eastAsia="en-US" w:bidi="ar-SA"/>
              </w:rPr>
              <w:t>)</w:t>
            </w:r>
          </w:p>
        </w:tc>
        <w:tc>
          <w:tcPr>
            <w:tcW w:w="2327" w:type="dxa"/>
            <w:tcBorders>
              <w:top w:val="single" w:sz="12" w:space="0" w:color="auto"/>
              <w:bottom w:val="dotted" w:sz="4" w:space="0" w:color="auto"/>
            </w:tcBorders>
            <w:shd w:val="clear" w:color="auto" w:fill="auto"/>
            <w:noWrap/>
            <w:vAlign w:val="center"/>
            <w:hideMark/>
          </w:tcPr>
          <w:p w:rsidR="00B805D6" w:rsidRPr="00BD1750" w:rsidRDefault="008A3F5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May</w:t>
            </w:r>
            <w:r w:rsidR="000415DE">
              <w:rPr>
                <w:rFonts w:asciiTheme="majorBidi" w:eastAsia="Times New Roman" w:hAnsiTheme="majorBidi" w:cstheme="majorBidi"/>
                <w:sz w:val="16"/>
                <w:szCs w:val="16"/>
                <w:lang w:eastAsia="en-US" w:bidi="ar-SA"/>
              </w:rPr>
              <w:t xml:space="preserve"> (</w:t>
            </w:r>
            <w:r>
              <w:rPr>
                <w:rFonts w:asciiTheme="majorBidi" w:eastAsia="Times New Roman" w:hAnsiTheme="majorBidi" w:cstheme="majorBidi"/>
                <w:sz w:val="16"/>
                <w:szCs w:val="16"/>
                <w:lang w:eastAsia="en-US" w:bidi="ar-SA"/>
              </w:rPr>
              <w:t>38.5</w:t>
            </w:r>
            <w:r w:rsidR="000415DE">
              <w:rPr>
                <w:rFonts w:asciiTheme="majorBidi" w:eastAsia="Times New Roman" w:hAnsiTheme="majorBidi" w:cstheme="majorBidi"/>
                <w:sz w:val="16"/>
                <w:szCs w:val="16"/>
                <w:lang w:eastAsia="en-US" w:bidi="ar-SA"/>
              </w:rPr>
              <w:t>%)</w:t>
            </w:r>
          </w:p>
        </w:tc>
      </w:tr>
      <w:tr w:rsidR="00B805D6"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B805D6" w:rsidRPr="00BD1750" w:rsidRDefault="00B805D6"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Imported fuel-oil by the Ministry of Energy and Water for EDL</w:t>
            </w:r>
          </w:p>
        </w:tc>
        <w:tc>
          <w:tcPr>
            <w:tcW w:w="1116" w:type="dxa"/>
            <w:tcBorders>
              <w:top w:val="dotted" w:sz="4" w:space="0" w:color="auto"/>
              <w:bottom w:val="dotted" w:sz="4" w:space="0" w:color="auto"/>
            </w:tcBorders>
            <w:shd w:val="clear" w:color="auto" w:fill="auto"/>
            <w:noWrap/>
            <w:vAlign w:val="center"/>
            <w:hideMark/>
          </w:tcPr>
          <w:p w:rsidR="00B805D6" w:rsidRPr="00BD1750" w:rsidRDefault="00B805D6"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1,283,360 </w:t>
            </w:r>
          </w:p>
        </w:tc>
        <w:tc>
          <w:tcPr>
            <w:tcW w:w="2556" w:type="dxa"/>
            <w:tcBorders>
              <w:top w:val="dotted" w:sz="4" w:space="0" w:color="auto"/>
              <w:bottom w:val="dotted" w:sz="4" w:space="0" w:color="auto"/>
            </w:tcBorders>
            <w:shd w:val="clear" w:color="auto" w:fill="auto"/>
            <w:noWrap/>
            <w:vAlign w:val="center"/>
            <w:hideMark/>
          </w:tcPr>
          <w:p w:rsidR="00B805D6" w:rsidRPr="00BD1750" w:rsidRDefault="008A3F5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September (</w:t>
            </w:r>
            <w:r w:rsidRPr="008A3F5A">
              <w:rPr>
                <w:rFonts w:asciiTheme="majorBidi" w:eastAsia="Times New Roman" w:hAnsiTheme="majorBidi" w:cstheme="majorBidi"/>
                <w:sz w:val="16"/>
                <w:szCs w:val="16"/>
                <w:lang w:eastAsia="en-US" w:bidi="ar-SA"/>
              </w:rPr>
              <w:t>167</w:t>
            </w:r>
            <w:r>
              <w:rPr>
                <w:rFonts w:asciiTheme="majorBidi" w:eastAsia="Times New Roman" w:hAnsiTheme="majorBidi" w:cstheme="majorBidi"/>
                <w:sz w:val="16"/>
                <w:szCs w:val="16"/>
                <w:lang w:eastAsia="en-US" w:bidi="ar-SA"/>
              </w:rPr>
              <w:t>,</w:t>
            </w:r>
            <w:r w:rsidRPr="008A3F5A">
              <w:rPr>
                <w:rFonts w:asciiTheme="majorBidi" w:eastAsia="Times New Roman" w:hAnsiTheme="majorBidi" w:cstheme="majorBidi"/>
                <w:sz w:val="16"/>
                <w:szCs w:val="16"/>
                <w:lang w:eastAsia="en-US" w:bidi="ar-SA"/>
              </w:rPr>
              <w:t>784</w:t>
            </w:r>
            <w:r>
              <w:rPr>
                <w:rFonts w:asciiTheme="majorBidi" w:eastAsia="Times New Roman" w:hAnsiTheme="majorBidi" w:cstheme="majorBidi"/>
                <w:sz w:val="16"/>
                <w:szCs w:val="16"/>
                <w:lang w:eastAsia="en-US" w:bidi="ar-SA"/>
              </w:rPr>
              <w:t>)</w:t>
            </w:r>
          </w:p>
        </w:tc>
        <w:tc>
          <w:tcPr>
            <w:tcW w:w="2327" w:type="dxa"/>
            <w:tcBorders>
              <w:top w:val="dotted" w:sz="4" w:space="0" w:color="auto"/>
              <w:bottom w:val="dotted" w:sz="4" w:space="0" w:color="auto"/>
            </w:tcBorders>
            <w:shd w:val="clear" w:color="auto" w:fill="auto"/>
            <w:noWrap/>
            <w:vAlign w:val="center"/>
            <w:hideMark/>
          </w:tcPr>
          <w:p w:rsidR="00B805D6" w:rsidRPr="00BD1750" w:rsidRDefault="008A3F5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September (13.1)</w:t>
            </w:r>
          </w:p>
        </w:tc>
      </w:tr>
      <w:tr w:rsidR="00B805D6"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B805D6" w:rsidRPr="00BD1750" w:rsidRDefault="00B805D6"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Imported oil by the Ministry of Energy and Water for the local market</w:t>
            </w:r>
          </w:p>
        </w:tc>
        <w:tc>
          <w:tcPr>
            <w:tcW w:w="1116" w:type="dxa"/>
            <w:tcBorders>
              <w:top w:val="dotted" w:sz="4" w:space="0" w:color="auto"/>
              <w:bottom w:val="dotted" w:sz="4" w:space="0" w:color="auto"/>
            </w:tcBorders>
            <w:shd w:val="clear" w:color="auto" w:fill="auto"/>
            <w:noWrap/>
            <w:vAlign w:val="center"/>
            <w:hideMark/>
          </w:tcPr>
          <w:p w:rsidR="00B805D6" w:rsidRPr="00BD1750" w:rsidRDefault="00B805D6"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858,112 </w:t>
            </w:r>
          </w:p>
        </w:tc>
        <w:tc>
          <w:tcPr>
            <w:tcW w:w="2556" w:type="dxa"/>
            <w:tcBorders>
              <w:top w:val="dotted" w:sz="4" w:space="0" w:color="auto"/>
              <w:bottom w:val="dotted" w:sz="4" w:space="0" w:color="auto"/>
            </w:tcBorders>
            <w:shd w:val="clear" w:color="auto" w:fill="auto"/>
            <w:noWrap/>
            <w:vAlign w:val="center"/>
            <w:hideMark/>
          </w:tcPr>
          <w:p w:rsidR="00B805D6" w:rsidRPr="00BD1750" w:rsidRDefault="00F01527"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January (</w:t>
            </w:r>
            <w:r w:rsidRPr="00F01527">
              <w:rPr>
                <w:rFonts w:asciiTheme="majorBidi" w:eastAsia="Times New Roman" w:hAnsiTheme="majorBidi" w:cstheme="majorBidi"/>
                <w:sz w:val="16"/>
                <w:szCs w:val="16"/>
                <w:lang w:eastAsia="en-US" w:bidi="ar-SA"/>
              </w:rPr>
              <w:t>119</w:t>
            </w:r>
            <w:r>
              <w:rPr>
                <w:rFonts w:asciiTheme="majorBidi" w:eastAsia="Times New Roman" w:hAnsiTheme="majorBidi" w:cstheme="majorBidi"/>
                <w:sz w:val="16"/>
                <w:szCs w:val="16"/>
                <w:lang w:eastAsia="en-US" w:bidi="ar-SA"/>
              </w:rPr>
              <w:t>,</w:t>
            </w:r>
            <w:r w:rsidRPr="00F01527">
              <w:rPr>
                <w:rFonts w:asciiTheme="majorBidi" w:eastAsia="Times New Roman" w:hAnsiTheme="majorBidi" w:cstheme="majorBidi"/>
                <w:sz w:val="16"/>
                <w:szCs w:val="16"/>
                <w:lang w:eastAsia="en-US" w:bidi="ar-SA"/>
              </w:rPr>
              <w:t>40</w:t>
            </w:r>
            <w:r>
              <w:rPr>
                <w:rFonts w:asciiTheme="majorBidi" w:eastAsia="Times New Roman" w:hAnsiTheme="majorBidi" w:cstheme="majorBidi"/>
                <w:sz w:val="16"/>
                <w:szCs w:val="16"/>
                <w:lang w:eastAsia="en-US" w:bidi="ar-SA"/>
              </w:rPr>
              <w:t>1)</w:t>
            </w:r>
          </w:p>
        </w:tc>
        <w:tc>
          <w:tcPr>
            <w:tcW w:w="2327" w:type="dxa"/>
            <w:tcBorders>
              <w:top w:val="dotted" w:sz="4" w:space="0" w:color="auto"/>
              <w:bottom w:val="dotted" w:sz="4" w:space="0" w:color="auto"/>
            </w:tcBorders>
            <w:shd w:val="clear" w:color="auto" w:fill="auto"/>
            <w:noWrap/>
            <w:vAlign w:val="center"/>
            <w:hideMark/>
          </w:tcPr>
          <w:p w:rsidR="00B805D6" w:rsidRPr="00BD1750" w:rsidRDefault="00F01527"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January (13.9)</w:t>
            </w:r>
          </w:p>
        </w:tc>
      </w:tr>
      <w:tr w:rsidR="00DD2D5A" w:rsidRPr="00BD1750" w:rsidTr="00A50ACD">
        <w:trPr>
          <w:trHeight w:val="255"/>
          <w:jc w:val="center"/>
        </w:trPr>
        <w:tc>
          <w:tcPr>
            <w:tcW w:w="3616" w:type="dxa"/>
            <w:tcBorders>
              <w:top w:val="single" w:sz="12" w:space="0" w:color="auto"/>
              <w:bottom w:val="dotted" w:sz="4" w:space="0" w:color="auto"/>
            </w:tcBorders>
            <w:shd w:val="clear" w:color="auto" w:fill="auto"/>
            <w:vAlign w:val="center"/>
            <w:hideMark/>
          </w:tcPr>
          <w:p w:rsidR="00DD2D5A" w:rsidRPr="00BD1750" w:rsidRDefault="00DD2D5A" w:rsidP="008324BA">
            <w:pPr>
              <w:bidi w:val="0"/>
              <w:spacing w:line="312" w:lineRule="auto"/>
              <w:rPr>
                <w:rFonts w:asciiTheme="majorBidi" w:eastAsia="Times New Roman" w:hAnsiTheme="majorBidi" w:cstheme="majorBidi"/>
                <w:i/>
                <w:iCs/>
                <w:sz w:val="16"/>
                <w:szCs w:val="16"/>
                <w:lang w:eastAsia="en-US" w:bidi="ar-SA"/>
              </w:rPr>
            </w:pPr>
            <w:r w:rsidRPr="00BD1750">
              <w:rPr>
                <w:rFonts w:asciiTheme="majorBidi" w:eastAsia="Times New Roman" w:hAnsiTheme="majorBidi" w:cstheme="majorBidi"/>
                <w:i/>
                <w:iCs/>
                <w:sz w:val="16"/>
                <w:szCs w:val="16"/>
                <w:lang w:eastAsia="en-US" w:bidi="ar-SA"/>
              </w:rPr>
              <w:t>Others</w:t>
            </w:r>
          </w:p>
        </w:tc>
        <w:tc>
          <w:tcPr>
            <w:tcW w:w="1116" w:type="dxa"/>
            <w:tcBorders>
              <w:top w:val="single" w:sz="12" w:space="0" w:color="auto"/>
              <w:bottom w:val="dotted" w:sz="4" w:space="0" w:color="auto"/>
            </w:tcBorders>
            <w:shd w:val="clear" w:color="auto" w:fill="auto"/>
            <w:noWrap/>
            <w:vAlign w:val="center"/>
            <w:hideMark/>
          </w:tcPr>
          <w:p w:rsidR="00DD2D5A" w:rsidRPr="00BD1750" w:rsidRDefault="00025FF9" w:rsidP="008324BA">
            <w:pPr>
              <w:bidi w:val="0"/>
              <w:spacing w:line="312" w:lineRule="auto"/>
              <w:jc w:val="right"/>
              <w:rPr>
                <w:rFonts w:asciiTheme="majorBidi" w:hAnsiTheme="majorBidi" w:cstheme="majorBidi"/>
                <w:i/>
                <w:iCs/>
                <w:sz w:val="16"/>
                <w:szCs w:val="16"/>
              </w:rPr>
            </w:pPr>
            <w:r w:rsidRPr="00BD1750">
              <w:rPr>
                <w:rFonts w:asciiTheme="majorBidi" w:hAnsiTheme="majorBidi" w:cstheme="majorBidi"/>
                <w:i/>
                <w:iCs/>
                <w:sz w:val="16"/>
                <w:szCs w:val="16"/>
              </w:rPr>
              <w:t xml:space="preserve">  5,441,241 </w:t>
            </w:r>
          </w:p>
        </w:tc>
        <w:tc>
          <w:tcPr>
            <w:tcW w:w="2556" w:type="dxa"/>
            <w:tcBorders>
              <w:top w:val="single" w:sz="12" w:space="0" w:color="auto"/>
              <w:bottom w:val="dotted" w:sz="4" w:space="0" w:color="auto"/>
            </w:tcBorders>
            <w:shd w:val="clear" w:color="auto" w:fill="auto"/>
            <w:noWrap/>
            <w:vAlign w:val="center"/>
            <w:hideMark/>
          </w:tcPr>
          <w:p w:rsidR="00DD2D5A" w:rsidRPr="00BD1750" w:rsidRDefault="005C3696" w:rsidP="008324BA">
            <w:pPr>
              <w:bidi w:val="0"/>
              <w:spacing w:line="312" w:lineRule="auto"/>
              <w:jc w:val="right"/>
              <w:rPr>
                <w:rFonts w:asciiTheme="majorBidi" w:eastAsia="Times New Roman" w:hAnsiTheme="majorBidi" w:cstheme="majorBidi"/>
                <w:i/>
                <w:iCs/>
                <w:sz w:val="16"/>
                <w:szCs w:val="16"/>
                <w:lang w:eastAsia="en-US" w:bidi="ar-SA"/>
              </w:rPr>
            </w:pPr>
            <w:r>
              <w:rPr>
                <w:rFonts w:asciiTheme="majorBidi" w:eastAsia="Times New Roman" w:hAnsiTheme="majorBidi" w:cstheme="majorBidi"/>
                <w:i/>
                <w:iCs/>
                <w:sz w:val="16"/>
                <w:szCs w:val="16"/>
                <w:lang w:eastAsia="en-US" w:bidi="ar-SA"/>
              </w:rPr>
              <w:t>May (</w:t>
            </w:r>
            <w:r w:rsidRPr="005C3696">
              <w:rPr>
                <w:rFonts w:asciiTheme="majorBidi" w:eastAsia="Times New Roman" w:hAnsiTheme="majorBidi" w:cstheme="majorBidi"/>
                <w:i/>
                <w:iCs/>
                <w:sz w:val="16"/>
                <w:szCs w:val="16"/>
                <w:lang w:eastAsia="en-US" w:bidi="ar-SA"/>
              </w:rPr>
              <w:t>3</w:t>
            </w:r>
            <w:r>
              <w:rPr>
                <w:rFonts w:asciiTheme="majorBidi" w:eastAsia="Times New Roman" w:hAnsiTheme="majorBidi" w:cstheme="majorBidi"/>
                <w:i/>
                <w:iCs/>
                <w:sz w:val="16"/>
                <w:szCs w:val="16"/>
                <w:lang w:eastAsia="en-US" w:bidi="ar-SA"/>
              </w:rPr>
              <w:t>,</w:t>
            </w:r>
            <w:r w:rsidRPr="005C3696">
              <w:rPr>
                <w:rFonts w:asciiTheme="majorBidi" w:eastAsia="Times New Roman" w:hAnsiTheme="majorBidi" w:cstheme="majorBidi"/>
                <w:i/>
                <w:iCs/>
                <w:sz w:val="16"/>
                <w:szCs w:val="16"/>
                <w:lang w:eastAsia="en-US" w:bidi="ar-SA"/>
              </w:rPr>
              <w:t>292</w:t>
            </w:r>
            <w:r>
              <w:rPr>
                <w:rFonts w:asciiTheme="majorBidi" w:eastAsia="Times New Roman" w:hAnsiTheme="majorBidi" w:cstheme="majorBidi"/>
                <w:i/>
                <w:iCs/>
                <w:sz w:val="16"/>
                <w:szCs w:val="16"/>
                <w:lang w:eastAsia="en-US" w:bidi="ar-SA"/>
              </w:rPr>
              <w:t>,</w:t>
            </w:r>
            <w:r w:rsidRPr="005C3696">
              <w:rPr>
                <w:rFonts w:asciiTheme="majorBidi" w:eastAsia="Times New Roman" w:hAnsiTheme="majorBidi" w:cstheme="majorBidi"/>
                <w:i/>
                <w:iCs/>
                <w:sz w:val="16"/>
                <w:szCs w:val="16"/>
                <w:lang w:eastAsia="en-US" w:bidi="ar-SA"/>
              </w:rPr>
              <w:t>148</w:t>
            </w:r>
            <w:r>
              <w:rPr>
                <w:rFonts w:asciiTheme="majorBidi" w:eastAsia="Times New Roman" w:hAnsiTheme="majorBidi" w:cstheme="majorBidi"/>
                <w:i/>
                <w:iCs/>
                <w:sz w:val="16"/>
                <w:szCs w:val="16"/>
                <w:lang w:eastAsia="en-US" w:bidi="ar-SA"/>
              </w:rPr>
              <w:t>)</w:t>
            </w:r>
          </w:p>
        </w:tc>
        <w:tc>
          <w:tcPr>
            <w:tcW w:w="2327" w:type="dxa"/>
            <w:tcBorders>
              <w:top w:val="single" w:sz="12" w:space="0" w:color="auto"/>
              <w:bottom w:val="dotted" w:sz="4" w:space="0" w:color="auto"/>
            </w:tcBorders>
            <w:shd w:val="clear" w:color="auto" w:fill="auto"/>
            <w:noWrap/>
            <w:vAlign w:val="center"/>
            <w:hideMark/>
          </w:tcPr>
          <w:p w:rsidR="00DD2D5A" w:rsidRPr="00BD1750" w:rsidRDefault="005C3696" w:rsidP="008324BA">
            <w:pPr>
              <w:bidi w:val="0"/>
              <w:spacing w:line="312" w:lineRule="auto"/>
              <w:jc w:val="right"/>
              <w:rPr>
                <w:rFonts w:asciiTheme="majorBidi" w:eastAsia="Times New Roman" w:hAnsiTheme="majorBidi" w:cstheme="majorBidi"/>
                <w:i/>
                <w:iCs/>
                <w:sz w:val="16"/>
                <w:szCs w:val="16"/>
                <w:lang w:eastAsia="en-US" w:bidi="ar-SA"/>
              </w:rPr>
            </w:pPr>
            <w:r>
              <w:rPr>
                <w:rFonts w:asciiTheme="majorBidi" w:eastAsia="Times New Roman" w:hAnsiTheme="majorBidi" w:cstheme="majorBidi"/>
                <w:i/>
                <w:iCs/>
                <w:sz w:val="16"/>
                <w:szCs w:val="16"/>
                <w:lang w:eastAsia="en-US" w:bidi="ar-SA"/>
              </w:rPr>
              <w:t>May (60.5)</w:t>
            </w:r>
          </w:p>
        </w:tc>
      </w:tr>
      <w:tr w:rsidR="00025FF9" w:rsidRPr="00BD1750" w:rsidTr="00A50ACD">
        <w:trPr>
          <w:trHeight w:val="255"/>
          <w:jc w:val="center"/>
        </w:trPr>
        <w:tc>
          <w:tcPr>
            <w:tcW w:w="3616" w:type="dxa"/>
            <w:tcBorders>
              <w:top w:val="single" w:sz="12" w:space="0" w:color="auto"/>
              <w:bottom w:val="dotted" w:sz="4" w:space="0" w:color="auto"/>
            </w:tcBorders>
            <w:shd w:val="clear" w:color="auto" w:fill="auto"/>
            <w:vAlign w:val="center"/>
            <w:hideMark/>
          </w:tcPr>
          <w:p w:rsidR="00025FF9" w:rsidRPr="00BD1750" w:rsidRDefault="00025FF9"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 xml:space="preserve">Imported oil by the private sector (Diesel oil) </w:t>
            </w:r>
          </w:p>
        </w:tc>
        <w:tc>
          <w:tcPr>
            <w:tcW w:w="1116" w:type="dxa"/>
            <w:tcBorders>
              <w:top w:val="single" w:sz="12" w:space="0" w:color="auto"/>
              <w:bottom w:val="dotted" w:sz="4" w:space="0" w:color="auto"/>
            </w:tcBorders>
            <w:shd w:val="clear" w:color="auto" w:fill="auto"/>
            <w:noWrap/>
            <w:vAlign w:val="center"/>
            <w:hideMark/>
          </w:tcPr>
          <w:p w:rsidR="00025FF9" w:rsidRPr="00BD1750" w:rsidRDefault="00025FF9"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3,490,380 </w:t>
            </w:r>
          </w:p>
        </w:tc>
        <w:tc>
          <w:tcPr>
            <w:tcW w:w="2556" w:type="dxa"/>
            <w:tcBorders>
              <w:top w:val="single" w:sz="12" w:space="0" w:color="auto"/>
              <w:bottom w:val="dotted" w:sz="4" w:space="0" w:color="auto"/>
            </w:tcBorders>
            <w:shd w:val="clear" w:color="auto" w:fill="auto"/>
            <w:noWrap/>
            <w:vAlign w:val="center"/>
            <w:hideMark/>
          </w:tcPr>
          <w:p w:rsidR="00025FF9" w:rsidRPr="00BD1750" w:rsidRDefault="00714D7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May (</w:t>
            </w:r>
            <w:r w:rsidRPr="00714D7A">
              <w:rPr>
                <w:rFonts w:asciiTheme="majorBidi" w:eastAsia="Times New Roman" w:hAnsiTheme="majorBidi" w:cstheme="majorBidi"/>
                <w:sz w:val="16"/>
                <w:szCs w:val="16"/>
                <w:lang w:eastAsia="en-US" w:bidi="ar-SA"/>
              </w:rPr>
              <w:t>3</w:t>
            </w:r>
            <w:r>
              <w:rPr>
                <w:rFonts w:asciiTheme="majorBidi" w:eastAsia="Times New Roman" w:hAnsiTheme="majorBidi" w:cstheme="majorBidi"/>
                <w:sz w:val="16"/>
                <w:szCs w:val="16"/>
                <w:lang w:eastAsia="en-US" w:bidi="ar-SA"/>
              </w:rPr>
              <w:t>,</w:t>
            </w:r>
            <w:r w:rsidRPr="00714D7A">
              <w:rPr>
                <w:rFonts w:asciiTheme="majorBidi" w:eastAsia="Times New Roman" w:hAnsiTheme="majorBidi" w:cstheme="majorBidi"/>
                <w:sz w:val="16"/>
                <w:szCs w:val="16"/>
                <w:lang w:eastAsia="en-US" w:bidi="ar-SA"/>
              </w:rPr>
              <w:t>171</w:t>
            </w:r>
            <w:r>
              <w:rPr>
                <w:rFonts w:asciiTheme="majorBidi" w:eastAsia="Times New Roman" w:hAnsiTheme="majorBidi" w:cstheme="majorBidi"/>
                <w:sz w:val="16"/>
                <w:szCs w:val="16"/>
                <w:lang w:eastAsia="en-US" w:bidi="ar-SA"/>
              </w:rPr>
              <w:t>,</w:t>
            </w:r>
            <w:r w:rsidRPr="00714D7A">
              <w:rPr>
                <w:rFonts w:asciiTheme="majorBidi" w:eastAsia="Times New Roman" w:hAnsiTheme="majorBidi" w:cstheme="majorBidi"/>
                <w:sz w:val="16"/>
                <w:szCs w:val="16"/>
                <w:lang w:eastAsia="en-US" w:bidi="ar-SA"/>
              </w:rPr>
              <w:t>304</w:t>
            </w:r>
            <w:r>
              <w:rPr>
                <w:rFonts w:asciiTheme="majorBidi" w:eastAsia="Times New Roman" w:hAnsiTheme="majorBidi" w:cstheme="majorBidi"/>
                <w:sz w:val="16"/>
                <w:szCs w:val="16"/>
                <w:lang w:eastAsia="en-US" w:bidi="ar-SA"/>
              </w:rPr>
              <w:t>)</w:t>
            </w:r>
          </w:p>
        </w:tc>
        <w:tc>
          <w:tcPr>
            <w:tcW w:w="2327" w:type="dxa"/>
            <w:tcBorders>
              <w:top w:val="single" w:sz="12" w:space="0" w:color="auto"/>
              <w:bottom w:val="dotted" w:sz="4" w:space="0" w:color="auto"/>
            </w:tcBorders>
            <w:shd w:val="clear" w:color="auto" w:fill="auto"/>
            <w:noWrap/>
            <w:vAlign w:val="center"/>
            <w:hideMark/>
          </w:tcPr>
          <w:p w:rsidR="00025FF9" w:rsidRPr="00BD1750" w:rsidRDefault="00714D7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May (90.9)</w:t>
            </w:r>
          </w:p>
        </w:tc>
      </w:tr>
      <w:tr w:rsidR="00025FF9"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025FF9" w:rsidRPr="00BD1750" w:rsidRDefault="00025FF9"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Unleaded petrol 95 Octane</w:t>
            </w:r>
          </w:p>
        </w:tc>
        <w:tc>
          <w:tcPr>
            <w:tcW w:w="1116" w:type="dxa"/>
            <w:tcBorders>
              <w:top w:val="dotted" w:sz="4" w:space="0" w:color="auto"/>
              <w:bottom w:val="dotted" w:sz="4" w:space="0" w:color="auto"/>
            </w:tcBorders>
            <w:shd w:val="clear" w:color="auto" w:fill="auto"/>
            <w:noWrap/>
            <w:vAlign w:val="center"/>
            <w:hideMark/>
          </w:tcPr>
          <w:p w:rsidR="00025FF9" w:rsidRPr="00BD1750" w:rsidRDefault="00025FF9"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1,067,351 </w:t>
            </w:r>
          </w:p>
        </w:tc>
        <w:tc>
          <w:tcPr>
            <w:tcW w:w="2556" w:type="dxa"/>
            <w:tcBorders>
              <w:top w:val="dotted" w:sz="4" w:space="0" w:color="auto"/>
              <w:bottom w:val="dotted" w:sz="4" w:space="0" w:color="auto"/>
            </w:tcBorders>
            <w:shd w:val="clear" w:color="auto" w:fill="auto"/>
            <w:noWrap/>
            <w:vAlign w:val="center"/>
            <w:hideMark/>
          </w:tcPr>
          <w:p w:rsidR="00025FF9" w:rsidRPr="00BD1750" w:rsidRDefault="00714D7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August (</w:t>
            </w:r>
            <w:r w:rsidRPr="00714D7A">
              <w:rPr>
                <w:rFonts w:asciiTheme="majorBidi" w:eastAsia="Times New Roman" w:hAnsiTheme="majorBidi" w:cstheme="majorBidi"/>
                <w:sz w:val="16"/>
                <w:szCs w:val="16"/>
                <w:lang w:eastAsia="en-US" w:bidi="ar-SA"/>
              </w:rPr>
              <w:t>163</w:t>
            </w:r>
            <w:r>
              <w:rPr>
                <w:rFonts w:asciiTheme="majorBidi" w:eastAsia="Times New Roman" w:hAnsiTheme="majorBidi" w:cstheme="majorBidi"/>
                <w:sz w:val="16"/>
                <w:szCs w:val="16"/>
                <w:lang w:eastAsia="en-US" w:bidi="ar-SA"/>
              </w:rPr>
              <w:t>,</w:t>
            </w:r>
            <w:r w:rsidRPr="00714D7A">
              <w:rPr>
                <w:rFonts w:asciiTheme="majorBidi" w:eastAsia="Times New Roman" w:hAnsiTheme="majorBidi" w:cstheme="majorBidi"/>
                <w:sz w:val="16"/>
                <w:szCs w:val="16"/>
                <w:lang w:eastAsia="en-US" w:bidi="ar-SA"/>
              </w:rPr>
              <w:t>586</w:t>
            </w:r>
            <w:r>
              <w:rPr>
                <w:rFonts w:asciiTheme="majorBidi" w:eastAsia="Times New Roman" w:hAnsiTheme="majorBidi" w:cstheme="majorBidi"/>
                <w:sz w:val="16"/>
                <w:szCs w:val="16"/>
                <w:lang w:eastAsia="en-US" w:bidi="ar-SA"/>
              </w:rPr>
              <w:t>)</w:t>
            </w:r>
          </w:p>
        </w:tc>
        <w:tc>
          <w:tcPr>
            <w:tcW w:w="2327" w:type="dxa"/>
            <w:tcBorders>
              <w:top w:val="dotted" w:sz="4" w:space="0" w:color="auto"/>
              <w:bottom w:val="dotted" w:sz="4" w:space="0" w:color="auto"/>
            </w:tcBorders>
            <w:shd w:val="clear" w:color="auto" w:fill="auto"/>
            <w:noWrap/>
            <w:vAlign w:val="center"/>
            <w:hideMark/>
          </w:tcPr>
          <w:p w:rsidR="00025FF9" w:rsidRPr="00BD1750" w:rsidRDefault="00714D7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August (15.3)</w:t>
            </w:r>
          </w:p>
        </w:tc>
      </w:tr>
      <w:tr w:rsidR="00025FF9"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025FF9" w:rsidRPr="00BD1750" w:rsidRDefault="00025FF9"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Unleaded petrol 98 Octane</w:t>
            </w:r>
          </w:p>
        </w:tc>
        <w:tc>
          <w:tcPr>
            <w:tcW w:w="1116" w:type="dxa"/>
            <w:tcBorders>
              <w:top w:val="dotted" w:sz="4" w:space="0" w:color="auto"/>
              <w:bottom w:val="dotted" w:sz="4" w:space="0" w:color="auto"/>
            </w:tcBorders>
            <w:shd w:val="clear" w:color="auto" w:fill="auto"/>
            <w:noWrap/>
            <w:vAlign w:val="center"/>
            <w:hideMark/>
          </w:tcPr>
          <w:p w:rsidR="00025FF9" w:rsidRPr="00BD1750" w:rsidRDefault="00025FF9"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250,027 </w:t>
            </w:r>
          </w:p>
        </w:tc>
        <w:tc>
          <w:tcPr>
            <w:tcW w:w="2556" w:type="dxa"/>
            <w:tcBorders>
              <w:top w:val="dotted" w:sz="4" w:space="0" w:color="auto"/>
              <w:bottom w:val="dotted" w:sz="4" w:space="0" w:color="auto"/>
            </w:tcBorders>
            <w:shd w:val="clear" w:color="auto" w:fill="auto"/>
            <w:noWrap/>
            <w:vAlign w:val="center"/>
            <w:hideMark/>
          </w:tcPr>
          <w:p w:rsidR="00025FF9" w:rsidRPr="00BD1750" w:rsidRDefault="00714D7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December (</w:t>
            </w:r>
            <w:r w:rsidRPr="00714D7A">
              <w:rPr>
                <w:rFonts w:asciiTheme="majorBidi" w:eastAsia="Times New Roman" w:hAnsiTheme="majorBidi" w:cstheme="majorBidi"/>
                <w:sz w:val="16"/>
                <w:szCs w:val="16"/>
                <w:lang w:eastAsia="en-US" w:bidi="ar-SA"/>
              </w:rPr>
              <w:t>36</w:t>
            </w:r>
            <w:r>
              <w:rPr>
                <w:rFonts w:asciiTheme="majorBidi" w:eastAsia="Times New Roman" w:hAnsiTheme="majorBidi" w:cstheme="majorBidi"/>
                <w:sz w:val="16"/>
                <w:szCs w:val="16"/>
                <w:lang w:eastAsia="en-US" w:bidi="ar-SA"/>
              </w:rPr>
              <w:t>,</w:t>
            </w:r>
            <w:r w:rsidRPr="00714D7A">
              <w:rPr>
                <w:rFonts w:asciiTheme="majorBidi" w:eastAsia="Times New Roman" w:hAnsiTheme="majorBidi" w:cstheme="majorBidi"/>
                <w:sz w:val="16"/>
                <w:szCs w:val="16"/>
                <w:lang w:eastAsia="en-US" w:bidi="ar-SA"/>
              </w:rPr>
              <w:t>776</w:t>
            </w:r>
            <w:r>
              <w:rPr>
                <w:rFonts w:asciiTheme="majorBidi" w:eastAsia="Times New Roman" w:hAnsiTheme="majorBidi" w:cstheme="majorBidi"/>
                <w:sz w:val="16"/>
                <w:szCs w:val="16"/>
                <w:lang w:eastAsia="en-US" w:bidi="ar-SA"/>
              </w:rPr>
              <w:t>)</w:t>
            </w:r>
          </w:p>
        </w:tc>
        <w:tc>
          <w:tcPr>
            <w:tcW w:w="2327" w:type="dxa"/>
            <w:tcBorders>
              <w:top w:val="dotted" w:sz="4" w:space="0" w:color="auto"/>
              <w:bottom w:val="dotted" w:sz="4" w:space="0" w:color="auto"/>
            </w:tcBorders>
            <w:shd w:val="clear" w:color="auto" w:fill="auto"/>
            <w:noWrap/>
            <w:vAlign w:val="center"/>
            <w:hideMark/>
          </w:tcPr>
          <w:p w:rsidR="00025FF9" w:rsidRPr="00BD1750" w:rsidRDefault="00714D7A"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December (14.7)</w:t>
            </w:r>
          </w:p>
        </w:tc>
      </w:tr>
      <w:tr w:rsidR="00025FF9"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025FF9" w:rsidRPr="00BD1750" w:rsidRDefault="00025FF9"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Kerosene for aircraft</w:t>
            </w:r>
          </w:p>
        </w:tc>
        <w:tc>
          <w:tcPr>
            <w:tcW w:w="1116" w:type="dxa"/>
            <w:tcBorders>
              <w:top w:val="dotted" w:sz="4" w:space="0" w:color="auto"/>
              <w:bottom w:val="dotted" w:sz="4" w:space="0" w:color="auto"/>
            </w:tcBorders>
            <w:shd w:val="clear" w:color="auto" w:fill="auto"/>
            <w:noWrap/>
            <w:vAlign w:val="center"/>
            <w:hideMark/>
          </w:tcPr>
          <w:p w:rsidR="00025FF9" w:rsidRPr="00BD1750" w:rsidRDefault="00025FF9"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230,950 </w:t>
            </w:r>
          </w:p>
        </w:tc>
        <w:tc>
          <w:tcPr>
            <w:tcW w:w="2556" w:type="dxa"/>
            <w:tcBorders>
              <w:top w:val="dotted" w:sz="4" w:space="0" w:color="auto"/>
              <w:bottom w:val="dotted" w:sz="4" w:space="0" w:color="auto"/>
            </w:tcBorders>
            <w:shd w:val="clear" w:color="auto" w:fill="auto"/>
            <w:noWrap/>
            <w:vAlign w:val="center"/>
            <w:hideMark/>
          </w:tcPr>
          <w:p w:rsidR="00025FF9" w:rsidRPr="00BD1750" w:rsidRDefault="005D604E"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November (</w:t>
            </w:r>
            <w:r w:rsidRPr="005D604E">
              <w:rPr>
                <w:rFonts w:asciiTheme="majorBidi" w:eastAsia="Times New Roman" w:hAnsiTheme="majorBidi" w:cstheme="majorBidi"/>
                <w:sz w:val="16"/>
                <w:szCs w:val="16"/>
                <w:lang w:eastAsia="en-US" w:bidi="ar-SA"/>
              </w:rPr>
              <w:t>37</w:t>
            </w:r>
            <w:r>
              <w:rPr>
                <w:rFonts w:asciiTheme="majorBidi" w:eastAsia="Times New Roman" w:hAnsiTheme="majorBidi" w:cstheme="majorBidi"/>
                <w:sz w:val="16"/>
                <w:szCs w:val="16"/>
                <w:lang w:eastAsia="en-US" w:bidi="ar-SA"/>
              </w:rPr>
              <w:t>,</w:t>
            </w:r>
            <w:r w:rsidRPr="005D604E">
              <w:rPr>
                <w:rFonts w:asciiTheme="majorBidi" w:eastAsia="Times New Roman" w:hAnsiTheme="majorBidi" w:cstheme="majorBidi"/>
                <w:sz w:val="16"/>
                <w:szCs w:val="16"/>
                <w:lang w:eastAsia="en-US" w:bidi="ar-SA"/>
              </w:rPr>
              <w:t>307</w:t>
            </w:r>
            <w:r>
              <w:rPr>
                <w:rFonts w:asciiTheme="majorBidi" w:eastAsia="Times New Roman" w:hAnsiTheme="majorBidi" w:cstheme="majorBidi"/>
                <w:sz w:val="16"/>
                <w:szCs w:val="16"/>
                <w:lang w:eastAsia="en-US" w:bidi="ar-SA"/>
              </w:rPr>
              <w:t>)</w:t>
            </w:r>
          </w:p>
        </w:tc>
        <w:tc>
          <w:tcPr>
            <w:tcW w:w="2327" w:type="dxa"/>
            <w:tcBorders>
              <w:top w:val="dotted" w:sz="4" w:space="0" w:color="auto"/>
              <w:bottom w:val="dotted" w:sz="4" w:space="0" w:color="auto"/>
            </w:tcBorders>
            <w:shd w:val="clear" w:color="auto" w:fill="auto"/>
            <w:noWrap/>
            <w:vAlign w:val="center"/>
            <w:hideMark/>
          </w:tcPr>
          <w:p w:rsidR="00025FF9" w:rsidRPr="00BD1750" w:rsidRDefault="005D604E"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November (16.2)</w:t>
            </w:r>
          </w:p>
        </w:tc>
      </w:tr>
      <w:tr w:rsidR="00025FF9"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025FF9" w:rsidRPr="00BD1750" w:rsidRDefault="00025FF9"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Imported fuel oil by the private sector</w:t>
            </w:r>
          </w:p>
        </w:tc>
        <w:tc>
          <w:tcPr>
            <w:tcW w:w="1116" w:type="dxa"/>
            <w:tcBorders>
              <w:top w:val="dotted" w:sz="4" w:space="0" w:color="auto"/>
              <w:bottom w:val="dotted" w:sz="4" w:space="0" w:color="auto"/>
            </w:tcBorders>
            <w:shd w:val="clear" w:color="auto" w:fill="auto"/>
            <w:noWrap/>
            <w:vAlign w:val="center"/>
            <w:hideMark/>
          </w:tcPr>
          <w:p w:rsidR="00025FF9" w:rsidRPr="00BD1750" w:rsidRDefault="00025FF9"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199,724 </w:t>
            </w:r>
          </w:p>
        </w:tc>
        <w:tc>
          <w:tcPr>
            <w:tcW w:w="2556" w:type="dxa"/>
            <w:tcBorders>
              <w:top w:val="dotted" w:sz="4" w:space="0" w:color="auto"/>
              <w:bottom w:val="dotted" w:sz="4" w:space="0" w:color="auto"/>
            </w:tcBorders>
            <w:shd w:val="clear" w:color="auto" w:fill="auto"/>
            <w:noWrap/>
            <w:vAlign w:val="center"/>
            <w:hideMark/>
          </w:tcPr>
          <w:p w:rsidR="00025FF9" w:rsidRPr="00BD1750" w:rsidRDefault="005D604E"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October (</w:t>
            </w:r>
            <w:r w:rsidRPr="005D604E">
              <w:rPr>
                <w:rFonts w:asciiTheme="majorBidi" w:eastAsia="Times New Roman" w:hAnsiTheme="majorBidi" w:cstheme="majorBidi"/>
                <w:sz w:val="16"/>
                <w:szCs w:val="16"/>
                <w:lang w:eastAsia="en-US" w:bidi="ar-SA"/>
              </w:rPr>
              <w:t>48</w:t>
            </w:r>
            <w:r>
              <w:rPr>
                <w:rFonts w:asciiTheme="majorBidi" w:eastAsia="Times New Roman" w:hAnsiTheme="majorBidi" w:cstheme="majorBidi"/>
                <w:sz w:val="16"/>
                <w:szCs w:val="16"/>
                <w:lang w:eastAsia="en-US" w:bidi="ar-SA"/>
              </w:rPr>
              <w:t>,</w:t>
            </w:r>
            <w:r w:rsidRPr="005D604E">
              <w:rPr>
                <w:rFonts w:asciiTheme="majorBidi" w:eastAsia="Times New Roman" w:hAnsiTheme="majorBidi" w:cstheme="majorBidi"/>
                <w:sz w:val="16"/>
                <w:szCs w:val="16"/>
                <w:lang w:eastAsia="en-US" w:bidi="ar-SA"/>
              </w:rPr>
              <w:t>829</w:t>
            </w:r>
            <w:r>
              <w:rPr>
                <w:rFonts w:asciiTheme="majorBidi" w:eastAsia="Times New Roman" w:hAnsiTheme="majorBidi" w:cstheme="majorBidi"/>
                <w:sz w:val="16"/>
                <w:szCs w:val="16"/>
                <w:lang w:eastAsia="en-US" w:bidi="ar-SA"/>
              </w:rPr>
              <w:t>)</w:t>
            </w:r>
          </w:p>
        </w:tc>
        <w:tc>
          <w:tcPr>
            <w:tcW w:w="2327" w:type="dxa"/>
            <w:tcBorders>
              <w:top w:val="dotted" w:sz="4" w:space="0" w:color="auto"/>
              <w:bottom w:val="dotted" w:sz="4" w:space="0" w:color="auto"/>
            </w:tcBorders>
            <w:shd w:val="clear" w:color="auto" w:fill="auto"/>
            <w:noWrap/>
            <w:vAlign w:val="center"/>
            <w:hideMark/>
          </w:tcPr>
          <w:p w:rsidR="00025FF9" w:rsidRPr="00BD1750" w:rsidRDefault="005D604E"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October (24.4)</w:t>
            </w:r>
          </w:p>
        </w:tc>
      </w:tr>
      <w:tr w:rsidR="00025FF9"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025FF9" w:rsidRPr="00BD1750" w:rsidRDefault="00025FF9"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Liquid Gas</w:t>
            </w:r>
          </w:p>
        </w:tc>
        <w:tc>
          <w:tcPr>
            <w:tcW w:w="1116" w:type="dxa"/>
            <w:tcBorders>
              <w:top w:val="dotted" w:sz="4" w:space="0" w:color="auto"/>
              <w:bottom w:val="dotted" w:sz="4" w:space="0" w:color="auto"/>
            </w:tcBorders>
            <w:shd w:val="clear" w:color="auto" w:fill="auto"/>
            <w:noWrap/>
            <w:vAlign w:val="center"/>
            <w:hideMark/>
          </w:tcPr>
          <w:p w:rsidR="00025FF9" w:rsidRPr="00BD1750" w:rsidRDefault="00025FF9"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117,975 </w:t>
            </w:r>
          </w:p>
        </w:tc>
        <w:tc>
          <w:tcPr>
            <w:tcW w:w="2556" w:type="dxa"/>
            <w:tcBorders>
              <w:top w:val="dotted" w:sz="4" w:space="0" w:color="auto"/>
              <w:bottom w:val="dotted" w:sz="4" w:space="0" w:color="auto"/>
            </w:tcBorders>
            <w:shd w:val="clear" w:color="auto" w:fill="auto"/>
            <w:noWrap/>
            <w:vAlign w:val="center"/>
            <w:hideMark/>
          </w:tcPr>
          <w:p w:rsidR="00025FF9" w:rsidRPr="00BD1750" w:rsidRDefault="00850100"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March (</w:t>
            </w:r>
            <w:r w:rsidRPr="00850100">
              <w:rPr>
                <w:rFonts w:asciiTheme="majorBidi" w:eastAsia="Times New Roman" w:hAnsiTheme="majorBidi" w:cstheme="majorBidi"/>
                <w:sz w:val="16"/>
                <w:szCs w:val="16"/>
                <w:lang w:eastAsia="en-US" w:bidi="ar-SA"/>
              </w:rPr>
              <w:t>15</w:t>
            </w:r>
            <w:r>
              <w:rPr>
                <w:rFonts w:asciiTheme="majorBidi" w:eastAsia="Times New Roman" w:hAnsiTheme="majorBidi" w:cstheme="majorBidi"/>
                <w:sz w:val="16"/>
                <w:szCs w:val="16"/>
                <w:lang w:eastAsia="en-US" w:bidi="ar-SA"/>
              </w:rPr>
              <w:t>,</w:t>
            </w:r>
            <w:r w:rsidRPr="00850100">
              <w:rPr>
                <w:rFonts w:asciiTheme="majorBidi" w:eastAsia="Times New Roman" w:hAnsiTheme="majorBidi" w:cstheme="majorBidi"/>
                <w:sz w:val="16"/>
                <w:szCs w:val="16"/>
                <w:lang w:eastAsia="en-US" w:bidi="ar-SA"/>
              </w:rPr>
              <w:t>533</w:t>
            </w:r>
            <w:r>
              <w:rPr>
                <w:rFonts w:asciiTheme="majorBidi" w:eastAsia="Times New Roman" w:hAnsiTheme="majorBidi" w:cstheme="majorBidi"/>
                <w:sz w:val="16"/>
                <w:szCs w:val="16"/>
                <w:lang w:eastAsia="en-US" w:bidi="ar-SA"/>
              </w:rPr>
              <w:t>)</w:t>
            </w:r>
          </w:p>
        </w:tc>
        <w:tc>
          <w:tcPr>
            <w:tcW w:w="2327" w:type="dxa"/>
            <w:tcBorders>
              <w:top w:val="dotted" w:sz="4" w:space="0" w:color="auto"/>
              <w:bottom w:val="dotted" w:sz="4" w:space="0" w:color="auto"/>
            </w:tcBorders>
            <w:shd w:val="clear" w:color="auto" w:fill="auto"/>
            <w:noWrap/>
            <w:vAlign w:val="center"/>
            <w:hideMark/>
          </w:tcPr>
          <w:p w:rsidR="00025FF9" w:rsidRPr="00BD1750" w:rsidRDefault="00850100"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March (13.2)</w:t>
            </w:r>
          </w:p>
        </w:tc>
      </w:tr>
      <w:tr w:rsidR="00025FF9" w:rsidRPr="00BD1750" w:rsidTr="00A50ACD">
        <w:trPr>
          <w:trHeight w:val="255"/>
          <w:jc w:val="center"/>
        </w:trPr>
        <w:tc>
          <w:tcPr>
            <w:tcW w:w="3616" w:type="dxa"/>
            <w:tcBorders>
              <w:top w:val="dotted" w:sz="4" w:space="0" w:color="auto"/>
              <w:bottom w:val="dotted" w:sz="4" w:space="0" w:color="auto"/>
            </w:tcBorders>
            <w:shd w:val="clear" w:color="auto" w:fill="auto"/>
            <w:vAlign w:val="center"/>
            <w:hideMark/>
          </w:tcPr>
          <w:p w:rsidR="00025FF9" w:rsidRPr="00BD1750" w:rsidRDefault="00025FF9" w:rsidP="008324BA">
            <w:pPr>
              <w:bidi w:val="0"/>
              <w:spacing w:line="312" w:lineRule="auto"/>
              <w:rPr>
                <w:rFonts w:asciiTheme="majorBidi" w:hAnsiTheme="majorBidi" w:cstheme="majorBidi"/>
                <w:sz w:val="16"/>
                <w:szCs w:val="16"/>
              </w:rPr>
            </w:pPr>
            <w:r w:rsidRPr="00BD1750">
              <w:rPr>
                <w:rFonts w:asciiTheme="majorBidi" w:hAnsiTheme="majorBidi" w:cstheme="majorBidi"/>
                <w:sz w:val="16"/>
                <w:szCs w:val="16"/>
              </w:rPr>
              <w:t>Asphalt (Bitumen)</w:t>
            </w:r>
          </w:p>
        </w:tc>
        <w:tc>
          <w:tcPr>
            <w:tcW w:w="1116" w:type="dxa"/>
            <w:tcBorders>
              <w:top w:val="dotted" w:sz="4" w:space="0" w:color="auto"/>
              <w:bottom w:val="dotted" w:sz="4" w:space="0" w:color="auto"/>
            </w:tcBorders>
            <w:shd w:val="clear" w:color="auto" w:fill="auto"/>
            <w:noWrap/>
            <w:vAlign w:val="center"/>
            <w:hideMark/>
          </w:tcPr>
          <w:p w:rsidR="00025FF9" w:rsidRPr="00BD1750" w:rsidRDefault="00025FF9" w:rsidP="008324BA">
            <w:pPr>
              <w:bidi w:val="0"/>
              <w:spacing w:line="312" w:lineRule="auto"/>
              <w:jc w:val="right"/>
              <w:rPr>
                <w:rFonts w:asciiTheme="majorBidi" w:hAnsiTheme="majorBidi" w:cstheme="majorBidi"/>
                <w:sz w:val="16"/>
                <w:szCs w:val="16"/>
              </w:rPr>
            </w:pPr>
            <w:r w:rsidRPr="00BD1750">
              <w:rPr>
                <w:rFonts w:asciiTheme="majorBidi" w:hAnsiTheme="majorBidi" w:cstheme="majorBidi"/>
                <w:sz w:val="16"/>
                <w:szCs w:val="16"/>
              </w:rPr>
              <w:t xml:space="preserve">         84,833 </w:t>
            </w:r>
          </w:p>
        </w:tc>
        <w:tc>
          <w:tcPr>
            <w:tcW w:w="2556" w:type="dxa"/>
            <w:tcBorders>
              <w:top w:val="dotted" w:sz="4" w:space="0" w:color="auto"/>
              <w:bottom w:val="dotted" w:sz="4" w:space="0" w:color="auto"/>
            </w:tcBorders>
            <w:shd w:val="clear" w:color="auto" w:fill="auto"/>
            <w:noWrap/>
            <w:vAlign w:val="center"/>
            <w:hideMark/>
          </w:tcPr>
          <w:p w:rsidR="00025FF9" w:rsidRPr="00BD1750" w:rsidRDefault="00850100"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April (</w:t>
            </w:r>
            <w:r w:rsidRPr="00850100">
              <w:rPr>
                <w:rFonts w:asciiTheme="majorBidi" w:eastAsia="Times New Roman" w:hAnsiTheme="majorBidi" w:cstheme="majorBidi"/>
                <w:sz w:val="16"/>
                <w:szCs w:val="16"/>
                <w:lang w:eastAsia="en-US" w:bidi="ar-SA"/>
              </w:rPr>
              <w:t>16</w:t>
            </w:r>
            <w:r>
              <w:rPr>
                <w:rFonts w:asciiTheme="majorBidi" w:eastAsia="Times New Roman" w:hAnsiTheme="majorBidi" w:cstheme="majorBidi"/>
                <w:sz w:val="16"/>
                <w:szCs w:val="16"/>
                <w:lang w:eastAsia="en-US" w:bidi="ar-SA"/>
              </w:rPr>
              <w:t>,</w:t>
            </w:r>
            <w:r w:rsidRPr="00850100">
              <w:rPr>
                <w:rFonts w:asciiTheme="majorBidi" w:eastAsia="Times New Roman" w:hAnsiTheme="majorBidi" w:cstheme="majorBidi"/>
                <w:sz w:val="16"/>
                <w:szCs w:val="16"/>
                <w:lang w:eastAsia="en-US" w:bidi="ar-SA"/>
              </w:rPr>
              <w:t>15</w:t>
            </w:r>
            <w:r>
              <w:rPr>
                <w:rFonts w:asciiTheme="majorBidi" w:eastAsia="Times New Roman" w:hAnsiTheme="majorBidi" w:cstheme="majorBidi"/>
                <w:sz w:val="16"/>
                <w:szCs w:val="16"/>
                <w:lang w:eastAsia="en-US" w:bidi="ar-SA"/>
              </w:rPr>
              <w:t>8)</w:t>
            </w:r>
          </w:p>
        </w:tc>
        <w:tc>
          <w:tcPr>
            <w:tcW w:w="2327" w:type="dxa"/>
            <w:tcBorders>
              <w:top w:val="dotted" w:sz="4" w:space="0" w:color="auto"/>
              <w:bottom w:val="dotted" w:sz="4" w:space="0" w:color="auto"/>
            </w:tcBorders>
            <w:shd w:val="clear" w:color="auto" w:fill="auto"/>
            <w:noWrap/>
            <w:vAlign w:val="center"/>
            <w:hideMark/>
          </w:tcPr>
          <w:p w:rsidR="00025FF9" w:rsidRPr="00BD1750" w:rsidRDefault="00850100"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April (19.0)</w:t>
            </w:r>
          </w:p>
        </w:tc>
      </w:tr>
      <w:tr w:rsidR="00A50ACD" w:rsidRPr="00BD1750" w:rsidTr="00927649">
        <w:trPr>
          <w:trHeight w:val="255"/>
          <w:jc w:val="center"/>
        </w:trPr>
        <w:tc>
          <w:tcPr>
            <w:tcW w:w="3616" w:type="dxa"/>
            <w:tcBorders>
              <w:top w:val="single" w:sz="12" w:space="0" w:color="auto"/>
              <w:bottom w:val="single" w:sz="12" w:space="0" w:color="auto"/>
            </w:tcBorders>
            <w:shd w:val="clear" w:color="auto" w:fill="auto"/>
            <w:vAlign w:val="center"/>
            <w:hideMark/>
          </w:tcPr>
          <w:p w:rsidR="00A50ACD" w:rsidRPr="00BD1750" w:rsidRDefault="00A50ACD" w:rsidP="008324BA">
            <w:pPr>
              <w:bidi w:val="0"/>
              <w:spacing w:line="312" w:lineRule="auto"/>
              <w:rPr>
                <w:rFonts w:asciiTheme="majorBidi" w:eastAsia="Times New Roman" w:hAnsiTheme="majorBidi" w:cstheme="majorBidi"/>
                <w:i/>
                <w:iCs/>
                <w:sz w:val="16"/>
                <w:szCs w:val="16"/>
                <w:lang w:eastAsia="en-US" w:bidi="ar-SA"/>
              </w:rPr>
            </w:pPr>
            <w:r w:rsidRPr="00BD1750">
              <w:rPr>
                <w:rFonts w:asciiTheme="majorBidi" w:eastAsia="Times New Roman" w:hAnsiTheme="majorBidi" w:cstheme="majorBidi"/>
                <w:i/>
                <w:iCs/>
                <w:sz w:val="16"/>
                <w:szCs w:val="16"/>
                <w:lang w:eastAsia="en-US" w:bidi="ar-SA"/>
              </w:rPr>
              <w:t>Refineries of Tripoli and Zahrani</w:t>
            </w:r>
          </w:p>
        </w:tc>
        <w:tc>
          <w:tcPr>
            <w:tcW w:w="1116" w:type="dxa"/>
            <w:tcBorders>
              <w:top w:val="single" w:sz="12" w:space="0" w:color="auto"/>
              <w:bottom w:val="single" w:sz="12" w:space="0" w:color="auto"/>
            </w:tcBorders>
            <w:shd w:val="clear" w:color="auto" w:fill="auto"/>
            <w:noWrap/>
            <w:vAlign w:val="center"/>
            <w:hideMark/>
          </w:tcPr>
          <w:p w:rsidR="00A50ACD" w:rsidRPr="00BD1750" w:rsidRDefault="00927649" w:rsidP="008324BA">
            <w:pPr>
              <w:bidi w:val="0"/>
              <w:spacing w:line="312" w:lineRule="auto"/>
              <w:jc w:val="right"/>
              <w:rPr>
                <w:rFonts w:asciiTheme="majorBidi" w:eastAsia="Times New Roman" w:hAnsiTheme="majorBidi" w:cstheme="majorBidi"/>
                <w:i/>
                <w:iCs/>
                <w:sz w:val="16"/>
                <w:szCs w:val="16"/>
                <w:lang w:eastAsia="en-US" w:bidi="ar-SA"/>
              </w:rPr>
            </w:pPr>
            <w:r>
              <w:rPr>
                <w:rFonts w:asciiTheme="majorBidi" w:eastAsia="Times New Roman" w:hAnsiTheme="majorBidi" w:cstheme="majorBidi"/>
                <w:i/>
                <w:iCs/>
                <w:sz w:val="16"/>
                <w:szCs w:val="16"/>
                <w:lang w:eastAsia="en-US" w:bidi="ar-SA"/>
              </w:rPr>
              <w:t>887,891</w:t>
            </w:r>
          </w:p>
        </w:tc>
        <w:tc>
          <w:tcPr>
            <w:tcW w:w="2556" w:type="dxa"/>
            <w:tcBorders>
              <w:top w:val="single" w:sz="12" w:space="0" w:color="auto"/>
              <w:bottom w:val="single" w:sz="12" w:space="0" w:color="auto"/>
            </w:tcBorders>
            <w:shd w:val="clear" w:color="auto" w:fill="auto"/>
            <w:noWrap/>
            <w:vAlign w:val="center"/>
            <w:hideMark/>
          </w:tcPr>
          <w:p w:rsidR="00A50ACD" w:rsidRPr="00BD1750" w:rsidRDefault="00850100" w:rsidP="008324BA">
            <w:pPr>
              <w:bidi w:val="0"/>
              <w:spacing w:line="312" w:lineRule="auto"/>
              <w:jc w:val="right"/>
              <w:rPr>
                <w:rFonts w:asciiTheme="majorBidi" w:eastAsia="Times New Roman" w:hAnsiTheme="majorBidi" w:cstheme="majorBidi"/>
                <w:i/>
                <w:iCs/>
                <w:sz w:val="16"/>
                <w:szCs w:val="16"/>
                <w:lang w:eastAsia="en-US" w:bidi="ar-SA"/>
              </w:rPr>
            </w:pPr>
            <w:r>
              <w:rPr>
                <w:rFonts w:asciiTheme="majorBidi" w:eastAsia="Times New Roman" w:hAnsiTheme="majorBidi" w:cstheme="majorBidi"/>
                <w:i/>
                <w:iCs/>
                <w:sz w:val="16"/>
                <w:szCs w:val="16"/>
                <w:lang w:eastAsia="en-US" w:bidi="ar-SA"/>
              </w:rPr>
              <w:t>January (</w:t>
            </w:r>
            <w:r w:rsidRPr="00850100">
              <w:rPr>
                <w:rFonts w:asciiTheme="majorBidi" w:eastAsia="Times New Roman" w:hAnsiTheme="majorBidi" w:cstheme="majorBidi"/>
                <w:i/>
                <w:iCs/>
                <w:sz w:val="16"/>
                <w:szCs w:val="16"/>
                <w:lang w:eastAsia="en-US" w:bidi="ar-SA"/>
              </w:rPr>
              <w:t>119</w:t>
            </w:r>
            <w:r>
              <w:rPr>
                <w:rFonts w:asciiTheme="majorBidi" w:eastAsia="Times New Roman" w:hAnsiTheme="majorBidi" w:cstheme="majorBidi"/>
                <w:i/>
                <w:iCs/>
                <w:sz w:val="16"/>
                <w:szCs w:val="16"/>
                <w:lang w:eastAsia="en-US" w:bidi="ar-SA"/>
              </w:rPr>
              <w:t>,</w:t>
            </w:r>
            <w:r w:rsidRPr="00850100">
              <w:rPr>
                <w:rFonts w:asciiTheme="majorBidi" w:eastAsia="Times New Roman" w:hAnsiTheme="majorBidi" w:cstheme="majorBidi"/>
                <w:i/>
                <w:iCs/>
                <w:sz w:val="16"/>
                <w:szCs w:val="16"/>
                <w:lang w:eastAsia="en-US" w:bidi="ar-SA"/>
              </w:rPr>
              <w:t>40</w:t>
            </w:r>
            <w:r>
              <w:rPr>
                <w:rFonts w:asciiTheme="majorBidi" w:eastAsia="Times New Roman" w:hAnsiTheme="majorBidi" w:cstheme="majorBidi"/>
                <w:i/>
                <w:iCs/>
                <w:sz w:val="16"/>
                <w:szCs w:val="16"/>
                <w:lang w:eastAsia="en-US" w:bidi="ar-SA"/>
              </w:rPr>
              <w:t>1)</w:t>
            </w:r>
          </w:p>
        </w:tc>
        <w:tc>
          <w:tcPr>
            <w:tcW w:w="2327" w:type="dxa"/>
            <w:tcBorders>
              <w:top w:val="single" w:sz="12" w:space="0" w:color="auto"/>
              <w:bottom w:val="single" w:sz="12" w:space="0" w:color="auto"/>
            </w:tcBorders>
            <w:shd w:val="clear" w:color="auto" w:fill="auto"/>
            <w:noWrap/>
            <w:vAlign w:val="center"/>
            <w:hideMark/>
          </w:tcPr>
          <w:p w:rsidR="00A50ACD" w:rsidRPr="00BD1750" w:rsidRDefault="00850100" w:rsidP="008324BA">
            <w:pPr>
              <w:bidi w:val="0"/>
              <w:spacing w:line="312" w:lineRule="auto"/>
              <w:jc w:val="right"/>
              <w:rPr>
                <w:rFonts w:asciiTheme="majorBidi" w:eastAsia="Times New Roman" w:hAnsiTheme="majorBidi" w:cstheme="majorBidi"/>
                <w:i/>
                <w:iCs/>
                <w:sz w:val="16"/>
                <w:szCs w:val="16"/>
                <w:lang w:eastAsia="en-US" w:bidi="ar-SA"/>
              </w:rPr>
            </w:pPr>
            <w:r>
              <w:rPr>
                <w:rFonts w:asciiTheme="majorBidi" w:eastAsia="Times New Roman" w:hAnsiTheme="majorBidi" w:cstheme="majorBidi"/>
                <w:i/>
                <w:iCs/>
                <w:sz w:val="16"/>
                <w:szCs w:val="16"/>
                <w:lang w:eastAsia="en-US" w:bidi="ar-SA"/>
              </w:rPr>
              <w:t>January (13.4)</w:t>
            </w:r>
          </w:p>
        </w:tc>
      </w:tr>
      <w:tr w:rsidR="00A50ACD" w:rsidRPr="00BD1750" w:rsidTr="00927649">
        <w:trPr>
          <w:trHeight w:val="255"/>
          <w:jc w:val="center"/>
        </w:trPr>
        <w:tc>
          <w:tcPr>
            <w:tcW w:w="3616" w:type="dxa"/>
            <w:tcBorders>
              <w:top w:val="single" w:sz="12" w:space="0" w:color="auto"/>
              <w:bottom w:val="single" w:sz="12" w:space="0" w:color="auto"/>
            </w:tcBorders>
            <w:shd w:val="clear" w:color="auto" w:fill="auto"/>
            <w:vAlign w:val="center"/>
          </w:tcPr>
          <w:p w:rsidR="00A50ACD" w:rsidRPr="00BD1750" w:rsidRDefault="00A50ACD" w:rsidP="008324BA">
            <w:pPr>
              <w:bidi w:val="0"/>
              <w:spacing w:line="312" w:lineRule="auto"/>
              <w:rPr>
                <w:rFonts w:asciiTheme="majorBidi" w:eastAsia="Times New Roman" w:hAnsiTheme="majorBidi" w:cstheme="majorBidi"/>
                <w:sz w:val="16"/>
                <w:szCs w:val="16"/>
                <w:lang w:eastAsia="en-US" w:bidi="ar-SA"/>
              </w:rPr>
            </w:pPr>
            <w:r w:rsidRPr="00BD1750">
              <w:rPr>
                <w:rFonts w:asciiTheme="majorBidi" w:eastAsia="Times New Roman" w:hAnsiTheme="majorBidi" w:cstheme="majorBidi"/>
                <w:sz w:val="16"/>
                <w:szCs w:val="16"/>
                <w:lang w:eastAsia="en-US" w:bidi="ar-SA"/>
              </w:rPr>
              <w:t>Gas-oil</w:t>
            </w:r>
          </w:p>
        </w:tc>
        <w:tc>
          <w:tcPr>
            <w:tcW w:w="1116" w:type="dxa"/>
            <w:tcBorders>
              <w:top w:val="single" w:sz="12" w:space="0" w:color="auto"/>
              <w:bottom w:val="single" w:sz="12" w:space="0" w:color="auto"/>
            </w:tcBorders>
            <w:shd w:val="clear" w:color="auto" w:fill="auto"/>
            <w:noWrap/>
            <w:vAlign w:val="center"/>
          </w:tcPr>
          <w:p w:rsidR="00A50ACD" w:rsidRPr="00927649" w:rsidRDefault="00927649" w:rsidP="008324BA">
            <w:pPr>
              <w:bidi w:val="0"/>
              <w:spacing w:line="312" w:lineRule="auto"/>
              <w:jc w:val="right"/>
              <w:rPr>
                <w:sz w:val="14"/>
                <w:szCs w:val="14"/>
              </w:rPr>
            </w:pPr>
            <w:r>
              <w:rPr>
                <w:sz w:val="14"/>
                <w:szCs w:val="14"/>
              </w:rPr>
              <w:t>887,891</w:t>
            </w:r>
          </w:p>
        </w:tc>
        <w:tc>
          <w:tcPr>
            <w:tcW w:w="2556" w:type="dxa"/>
            <w:tcBorders>
              <w:top w:val="single" w:sz="12" w:space="0" w:color="auto"/>
              <w:bottom w:val="single" w:sz="12" w:space="0" w:color="auto"/>
            </w:tcBorders>
            <w:shd w:val="clear" w:color="auto" w:fill="auto"/>
            <w:noWrap/>
            <w:vAlign w:val="center"/>
          </w:tcPr>
          <w:p w:rsidR="00A50ACD" w:rsidRPr="00BD1750" w:rsidRDefault="00850100"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January (119,401)</w:t>
            </w:r>
          </w:p>
        </w:tc>
        <w:tc>
          <w:tcPr>
            <w:tcW w:w="2327" w:type="dxa"/>
            <w:tcBorders>
              <w:top w:val="single" w:sz="12" w:space="0" w:color="auto"/>
              <w:bottom w:val="single" w:sz="12" w:space="0" w:color="auto"/>
            </w:tcBorders>
            <w:shd w:val="clear" w:color="auto" w:fill="auto"/>
            <w:noWrap/>
            <w:vAlign w:val="center"/>
          </w:tcPr>
          <w:p w:rsidR="00A50ACD" w:rsidRPr="00BD1750" w:rsidRDefault="00850100" w:rsidP="008324BA">
            <w:pPr>
              <w:bidi w:val="0"/>
              <w:spacing w:line="312" w:lineRule="auto"/>
              <w:jc w:val="right"/>
              <w:rPr>
                <w:rFonts w:asciiTheme="majorBidi" w:eastAsia="Times New Roman" w:hAnsiTheme="majorBidi" w:cstheme="majorBidi"/>
                <w:sz w:val="16"/>
                <w:szCs w:val="16"/>
                <w:lang w:eastAsia="en-US" w:bidi="ar-SA"/>
              </w:rPr>
            </w:pPr>
            <w:r>
              <w:rPr>
                <w:rFonts w:asciiTheme="majorBidi" w:eastAsia="Times New Roman" w:hAnsiTheme="majorBidi" w:cstheme="majorBidi"/>
                <w:sz w:val="16"/>
                <w:szCs w:val="16"/>
                <w:lang w:eastAsia="en-US" w:bidi="ar-SA"/>
              </w:rPr>
              <w:t>January (13.4)</w:t>
            </w:r>
          </w:p>
        </w:tc>
      </w:tr>
    </w:tbl>
    <w:p w:rsidR="00680C9A" w:rsidRPr="00FF61F1" w:rsidRDefault="00680C9A" w:rsidP="00B5347B">
      <w:pPr>
        <w:bidi w:val="0"/>
        <w:jc w:val="center"/>
        <w:rPr>
          <w:i/>
          <w:iCs/>
          <w:sz w:val="18"/>
          <w:szCs w:val="18"/>
        </w:rPr>
      </w:pPr>
      <w:r w:rsidRPr="00FF61F1">
        <w:rPr>
          <w:i/>
          <w:iCs/>
          <w:sz w:val="18"/>
          <w:szCs w:val="18"/>
        </w:rPr>
        <w:t xml:space="preserve">Table made by CAS based on </w:t>
      </w:r>
      <w:r w:rsidR="00391EAC" w:rsidRPr="00FF61F1">
        <w:rPr>
          <w:rFonts w:eastAsia="Times New Roman"/>
          <w:i/>
          <w:iCs/>
          <w:noProof/>
          <w:sz w:val="20"/>
          <w:szCs w:val="20"/>
        </w:rPr>
        <w:t xml:space="preserve">the Ministry of Energy and Water </w:t>
      </w:r>
      <w:r w:rsidRPr="00FF61F1">
        <w:rPr>
          <w:rFonts w:eastAsia="Times New Roman"/>
          <w:i/>
          <w:iCs/>
          <w:noProof/>
          <w:sz w:val="20"/>
          <w:szCs w:val="20"/>
        </w:rPr>
        <w:t>data (</w:t>
      </w:r>
      <w:r w:rsidR="00B5347B">
        <w:rPr>
          <w:rFonts w:eastAsia="Times New Roman"/>
          <w:i/>
          <w:iCs/>
          <w:noProof/>
          <w:sz w:val="20"/>
          <w:szCs w:val="20"/>
        </w:rPr>
        <w:t>2010</w:t>
      </w:r>
      <w:r w:rsidRPr="00FF61F1">
        <w:rPr>
          <w:rFonts w:eastAsia="Times New Roman"/>
          <w:i/>
          <w:iCs/>
          <w:noProof/>
          <w:sz w:val="20"/>
          <w:szCs w:val="20"/>
        </w:rPr>
        <w:t>)</w:t>
      </w:r>
    </w:p>
    <w:p w:rsidR="00356F68" w:rsidRDefault="00356F68" w:rsidP="00AB7EA0">
      <w:pPr>
        <w:bidi w:val="0"/>
        <w:jc w:val="center"/>
        <w:rPr>
          <w:b/>
          <w:bCs/>
          <w:i/>
          <w:iCs/>
          <w:noProof/>
          <w:sz w:val="26"/>
          <w:szCs w:val="26"/>
        </w:rPr>
      </w:pPr>
    </w:p>
    <w:p w:rsidR="008324BA" w:rsidRDefault="008324BA" w:rsidP="008324BA">
      <w:pPr>
        <w:bidi w:val="0"/>
        <w:jc w:val="center"/>
        <w:rPr>
          <w:b/>
          <w:bCs/>
          <w:i/>
          <w:iCs/>
          <w:noProof/>
          <w:sz w:val="26"/>
          <w:szCs w:val="26"/>
        </w:rPr>
      </w:pPr>
    </w:p>
    <w:p w:rsidR="008324BA" w:rsidRDefault="008324BA" w:rsidP="008324BA">
      <w:pPr>
        <w:bidi w:val="0"/>
        <w:jc w:val="center"/>
        <w:rPr>
          <w:b/>
          <w:bCs/>
          <w:i/>
          <w:iCs/>
          <w:noProof/>
          <w:sz w:val="26"/>
          <w:szCs w:val="26"/>
        </w:rPr>
      </w:pPr>
    </w:p>
    <w:p w:rsidR="008324BA" w:rsidRDefault="008324BA" w:rsidP="008324BA">
      <w:pPr>
        <w:bidi w:val="0"/>
        <w:jc w:val="center"/>
        <w:rPr>
          <w:b/>
          <w:bCs/>
          <w:i/>
          <w:iCs/>
          <w:noProof/>
          <w:sz w:val="26"/>
          <w:szCs w:val="26"/>
        </w:rPr>
      </w:pPr>
    </w:p>
    <w:p w:rsidR="008324BA" w:rsidRDefault="008324BA" w:rsidP="008324BA">
      <w:pPr>
        <w:bidi w:val="0"/>
        <w:jc w:val="center"/>
        <w:rPr>
          <w:b/>
          <w:bCs/>
          <w:i/>
          <w:iCs/>
          <w:noProof/>
          <w:sz w:val="26"/>
          <w:szCs w:val="26"/>
        </w:rPr>
      </w:pPr>
    </w:p>
    <w:p w:rsidR="00AB7EA0" w:rsidRDefault="00AB7EA0" w:rsidP="007F49A6">
      <w:pPr>
        <w:bidi w:val="0"/>
        <w:jc w:val="center"/>
        <w:rPr>
          <w:b/>
          <w:bCs/>
          <w:noProof/>
          <w:sz w:val="26"/>
          <w:szCs w:val="26"/>
        </w:rPr>
      </w:pPr>
      <w:r w:rsidRPr="00F00653">
        <w:rPr>
          <w:b/>
          <w:bCs/>
          <w:noProof/>
          <w:sz w:val="26"/>
          <w:szCs w:val="26"/>
        </w:rPr>
        <w:lastRenderedPageBreak/>
        <w:t>Tariffs of petroleum products</w:t>
      </w:r>
    </w:p>
    <w:p w:rsidR="00F00653" w:rsidRPr="00F00653" w:rsidRDefault="00F00653" w:rsidP="00F00653">
      <w:pPr>
        <w:bidi w:val="0"/>
        <w:jc w:val="center"/>
        <w:rPr>
          <w:b/>
          <w:bCs/>
          <w:noProof/>
          <w:sz w:val="26"/>
          <w:szCs w:val="26"/>
        </w:rPr>
      </w:pPr>
    </w:p>
    <w:p w:rsidR="00AB7EA0" w:rsidRPr="00FF61F1" w:rsidRDefault="00AB7EA0" w:rsidP="007F49A6">
      <w:pPr>
        <w:bidi w:val="0"/>
        <w:jc w:val="both"/>
        <w:rPr>
          <w:noProof/>
          <w:sz w:val="22"/>
          <w:szCs w:val="22"/>
        </w:rPr>
      </w:pPr>
      <w:r w:rsidRPr="00FF61F1">
        <w:rPr>
          <w:noProof/>
          <w:sz w:val="22"/>
          <w:szCs w:val="22"/>
        </w:rPr>
        <w:t xml:space="preserve">The Ministry of Energy and water publishes </w:t>
      </w:r>
      <w:r w:rsidR="00143D75">
        <w:rPr>
          <w:noProof/>
          <w:sz w:val="22"/>
          <w:szCs w:val="22"/>
        </w:rPr>
        <w:t>weekly</w:t>
      </w:r>
      <w:r w:rsidRPr="00FF61F1">
        <w:rPr>
          <w:noProof/>
          <w:sz w:val="22"/>
          <w:szCs w:val="22"/>
        </w:rPr>
        <w:t xml:space="preserve"> tariffs of </w:t>
      </w:r>
      <w:r w:rsidR="000A0D81" w:rsidRPr="00FF61F1">
        <w:rPr>
          <w:noProof/>
          <w:sz w:val="22"/>
          <w:szCs w:val="22"/>
        </w:rPr>
        <w:t>several</w:t>
      </w:r>
      <w:r w:rsidRPr="00FF61F1">
        <w:rPr>
          <w:noProof/>
          <w:sz w:val="22"/>
          <w:szCs w:val="22"/>
        </w:rPr>
        <w:t xml:space="preserve"> petroleum products.</w:t>
      </w:r>
    </w:p>
    <w:p w:rsidR="000A0D81" w:rsidRPr="00FF61F1" w:rsidRDefault="000A0D81" w:rsidP="007F49A6">
      <w:pPr>
        <w:bidi w:val="0"/>
        <w:jc w:val="both"/>
        <w:rPr>
          <w:noProof/>
          <w:sz w:val="22"/>
          <w:szCs w:val="22"/>
        </w:rPr>
      </w:pPr>
    </w:p>
    <w:p w:rsidR="000A0D81" w:rsidRPr="008324BA" w:rsidRDefault="000A0D81" w:rsidP="008324BA">
      <w:pPr>
        <w:bidi w:val="0"/>
        <w:jc w:val="center"/>
        <w:outlineLvl w:val="0"/>
        <w:rPr>
          <w:b/>
          <w:bCs/>
          <w:sz w:val="22"/>
          <w:szCs w:val="22"/>
        </w:rPr>
      </w:pPr>
      <w:bookmarkStart w:id="5" w:name="_Toc263093749"/>
      <w:r w:rsidRPr="008324BA">
        <w:rPr>
          <w:b/>
          <w:bCs/>
          <w:sz w:val="22"/>
          <w:szCs w:val="22"/>
        </w:rPr>
        <w:t xml:space="preserve">Table </w:t>
      </w:r>
      <w:r w:rsidR="0079415D" w:rsidRPr="008324BA">
        <w:rPr>
          <w:b/>
          <w:bCs/>
          <w:sz w:val="22"/>
          <w:szCs w:val="22"/>
        </w:rPr>
        <w:t>5.5</w:t>
      </w:r>
      <w:r w:rsidRPr="008324BA">
        <w:rPr>
          <w:b/>
          <w:bCs/>
          <w:sz w:val="22"/>
          <w:szCs w:val="22"/>
        </w:rPr>
        <w:t xml:space="preserve"> – Tariffs of petroleum products in </w:t>
      </w:r>
      <w:r w:rsidR="00287CCD" w:rsidRPr="008324BA">
        <w:rPr>
          <w:b/>
          <w:bCs/>
          <w:sz w:val="22"/>
          <w:szCs w:val="22"/>
        </w:rPr>
        <w:t xml:space="preserve">January and December. </w:t>
      </w:r>
      <w:bookmarkEnd w:id="5"/>
      <w:r w:rsidR="008324BA" w:rsidRPr="008324BA">
        <w:rPr>
          <w:b/>
          <w:bCs/>
          <w:sz w:val="22"/>
          <w:szCs w:val="22"/>
        </w:rPr>
        <w:t>LBP and USD in 2010</w:t>
      </w:r>
      <w:r w:rsidRPr="008324BA">
        <w:rPr>
          <w:b/>
          <w:bCs/>
          <w:sz w:val="22"/>
          <w:szCs w:val="22"/>
        </w:rPr>
        <w:t xml:space="preserve"> </w:t>
      </w:r>
    </w:p>
    <w:tbl>
      <w:tblPr>
        <w:tblStyle w:val="TableGrid"/>
        <w:tblW w:w="0" w:type="auto"/>
        <w:jc w:val="center"/>
        <w:tblLook w:val="04A0"/>
      </w:tblPr>
      <w:tblGrid>
        <w:gridCol w:w="2473"/>
        <w:gridCol w:w="1980"/>
        <w:gridCol w:w="2068"/>
        <w:gridCol w:w="2843"/>
      </w:tblGrid>
      <w:tr w:rsidR="002B161B" w:rsidRPr="00B21ECB" w:rsidTr="008324BA">
        <w:trPr>
          <w:jc w:val="center"/>
        </w:trPr>
        <w:tc>
          <w:tcPr>
            <w:tcW w:w="2473" w:type="dxa"/>
            <w:vMerge w:val="restart"/>
            <w:tcBorders>
              <w:top w:val="single" w:sz="12" w:space="0" w:color="auto"/>
              <w:left w:val="nil"/>
              <w:bottom w:val="single" w:sz="12" w:space="0" w:color="auto"/>
              <w:right w:val="nil"/>
            </w:tcBorders>
            <w:vAlign w:val="center"/>
          </w:tcPr>
          <w:p w:rsidR="002B161B" w:rsidRPr="00B21ECB" w:rsidRDefault="002B161B" w:rsidP="003A4F65">
            <w:pPr>
              <w:bidi w:val="0"/>
              <w:spacing w:line="456" w:lineRule="auto"/>
              <w:jc w:val="both"/>
              <w:rPr>
                <w:rFonts w:asciiTheme="majorBidi" w:hAnsiTheme="majorBidi" w:cstheme="majorBidi"/>
                <w:b/>
                <w:bCs/>
                <w:sz w:val="16"/>
                <w:szCs w:val="16"/>
              </w:rPr>
            </w:pPr>
            <w:r w:rsidRPr="00B21ECB">
              <w:rPr>
                <w:rFonts w:asciiTheme="majorBidi" w:hAnsiTheme="majorBidi" w:cstheme="majorBidi"/>
                <w:b/>
                <w:bCs/>
                <w:sz w:val="16"/>
                <w:szCs w:val="16"/>
              </w:rPr>
              <w:t>Petroleum product</w:t>
            </w:r>
          </w:p>
        </w:tc>
        <w:tc>
          <w:tcPr>
            <w:tcW w:w="6891" w:type="dxa"/>
            <w:gridSpan w:val="3"/>
            <w:tcBorders>
              <w:top w:val="single" w:sz="12" w:space="0" w:color="auto"/>
              <w:left w:val="nil"/>
              <w:bottom w:val="single" w:sz="12" w:space="0" w:color="auto"/>
              <w:right w:val="nil"/>
            </w:tcBorders>
            <w:vAlign w:val="center"/>
          </w:tcPr>
          <w:p w:rsidR="002B161B" w:rsidRPr="00B21ECB" w:rsidRDefault="008324BA" w:rsidP="003A4F65">
            <w:pPr>
              <w:bidi w:val="0"/>
              <w:spacing w:line="456" w:lineRule="auto"/>
              <w:jc w:val="center"/>
              <w:rPr>
                <w:rFonts w:asciiTheme="majorBidi" w:hAnsiTheme="majorBidi" w:cstheme="majorBidi"/>
                <w:b/>
                <w:bCs/>
                <w:sz w:val="16"/>
                <w:szCs w:val="16"/>
              </w:rPr>
            </w:pPr>
            <w:r w:rsidRPr="00B21ECB">
              <w:rPr>
                <w:rFonts w:asciiTheme="majorBidi" w:hAnsiTheme="majorBidi" w:cstheme="majorBidi"/>
                <w:b/>
                <w:bCs/>
                <w:sz w:val="16"/>
                <w:szCs w:val="16"/>
              </w:rPr>
              <w:t>2010</w:t>
            </w:r>
          </w:p>
        </w:tc>
      </w:tr>
      <w:tr w:rsidR="002B161B" w:rsidRPr="00B21ECB" w:rsidTr="008324BA">
        <w:trPr>
          <w:jc w:val="center"/>
        </w:trPr>
        <w:tc>
          <w:tcPr>
            <w:tcW w:w="2473" w:type="dxa"/>
            <w:vMerge/>
            <w:tcBorders>
              <w:top w:val="single" w:sz="12" w:space="0" w:color="auto"/>
              <w:left w:val="nil"/>
              <w:bottom w:val="single" w:sz="12" w:space="0" w:color="auto"/>
              <w:right w:val="nil"/>
            </w:tcBorders>
          </w:tcPr>
          <w:p w:rsidR="002B161B" w:rsidRPr="00B21ECB" w:rsidRDefault="002B161B" w:rsidP="003A4F65">
            <w:pPr>
              <w:bidi w:val="0"/>
              <w:spacing w:line="456" w:lineRule="auto"/>
              <w:jc w:val="center"/>
              <w:rPr>
                <w:rFonts w:asciiTheme="majorBidi" w:hAnsiTheme="majorBidi" w:cstheme="majorBidi"/>
                <w:sz w:val="16"/>
                <w:szCs w:val="16"/>
              </w:rPr>
            </w:pPr>
          </w:p>
        </w:tc>
        <w:tc>
          <w:tcPr>
            <w:tcW w:w="1980" w:type="dxa"/>
            <w:tcBorders>
              <w:top w:val="single" w:sz="12" w:space="0" w:color="auto"/>
              <w:left w:val="nil"/>
              <w:bottom w:val="single" w:sz="12" w:space="0" w:color="auto"/>
              <w:right w:val="nil"/>
            </w:tcBorders>
          </w:tcPr>
          <w:p w:rsidR="002B161B" w:rsidRPr="00B21ECB" w:rsidRDefault="002B161B" w:rsidP="003A4F65">
            <w:pPr>
              <w:bidi w:val="0"/>
              <w:spacing w:line="456" w:lineRule="auto"/>
              <w:jc w:val="right"/>
              <w:rPr>
                <w:rFonts w:asciiTheme="majorBidi" w:hAnsiTheme="majorBidi" w:cstheme="majorBidi"/>
                <w:b/>
                <w:bCs/>
                <w:sz w:val="16"/>
                <w:szCs w:val="16"/>
              </w:rPr>
            </w:pPr>
            <w:r w:rsidRPr="00B21ECB">
              <w:rPr>
                <w:rFonts w:asciiTheme="majorBidi" w:hAnsiTheme="majorBidi" w:cstheme="majorBidi"/>
                <w:b/>
                <w:bCs/>
                <w:sz w:val="16"/>
                <w:szCs w:val="16"/>
              </w:rPr>
              <w:t>January price</w:t>
            </w:r>
            <w:r w:rsidR="007F49A6" w:rsidRPr="00B21ECB">
              <w:rPr>
                <w:rFonts w:asciiTheme="majorBidi" w:hAnsiTheme="majorBidi" w:cstheme="majorBidi"/>
                <w:b/>
                <w:bCs/>
                <w:sz w:val="16"/>
                <w:szCs w:val="16"/>
              </w:rPr>
              <w:t xml:space="preserve">. </w:t>
            </w:r>
            <w:r w:rsidRPr="00B21ECB">
              <w:rPr>
                <w:rFonts w:asciiTheme="majorBidi" w:hAnsiTheme="majorBidi" w:cstheme="majorBidi"/>
                <w:b/>
                <w:bCs/>
                <w:sz w:val="16"/>
                <w:szCs w:val="16"/>
              </w:rPr>
              <w:t>LBP</w:t>
            </w:r>
          </w:p>
        </w:tc>
        <w:tc>
          <w:tcPr>
            <w:tcW w:w="2068" w:type="dxa"/>
            <w:tcBorders>
              <w:top w:val="single" w:sz="12" w:space="0" w:color="auto"/>
              <w:left w:val="nil"/>
              <w:bottom w:val="single" w:sz="12" w:space="0" w:color="auto"/>
              <w:right w:val="nil"/>
            </w:tcBorders>
          </w:tcPr>
          <w:p w:rsidR="002B161B" w:rsidRPr="00B21ECB" w:rsidRDefault="002B161B" w:rsidP="003A4F65">
            <w:pPr>
              <w:bidi w:val="0"/>
              <w:spacing w:line="456" w:lineRule="auto"/>
              <w:jc w:val="right"/>
              <w:rPr>
                <w:rFonts w:asciiTheme="majorBidi" w:hAnsiTheme="majorBidi" w:cstheme="majorBidi"/>
                <w:b/>
                <w:bCs/>
                <w:sz w:val="16"/>
                <w:szCs w:val="16"/>
              </w:rPr>
            </w:pPr>
            <w:r w:rsidRPr="00B21ECB">
              <w:rPr>
                <w:rFonts w:asciiTheme="majorBidi" w:hAnsiTheme="majorBidi" w:cstheme="majorBidi"/>
                <w:b/>
                <w:bCs/>
                <w:sz w:val="16"/>
                <w:szCs w:val="16"/>
              </w:rPr>
              <w:t>December price</w:t>
            </w:r>
            <w:r w:rsidR="007F49A6" w:rsidRPr="00B21ECB">
              <w:rPr>
                <w:rFonts w:asciiTheme="majorBidi" w:hAnsiTheme="majorBidi" w:cstheme="majorBidi"/>
                <w:b/>
                <w:bCs/>
                <w:sz w:val="16"/>
                <w:szCs w:val="16"/>
              </w:rPr>
              <w:t xml:space="preserve">. </w:t>
            </w:r>
            <w:r w:rsidRPr="00B21ECB">
              <w:rPr>
                <w:rFonts w:asciiTheme="majorBidi" w:hAnsiTheme="majorBidi" w:cstheme="majorBidi"/>
                <w:b/>
                <w:bCs/>
                <w:sz w:val="16"/>
                <w:szCs w:val="16"/>
              </w:rPr>
              <w:t>LBP</w:t>
            </w:r>
          </w:p>
        </w:tc>
        <w:tc>
          <w:tcPr>
            <w:tcW w:w="2843" w:type="dxa"/>
            <w:tcBorders>
              <w:top w:val="single" w:sz="12" w:space="0" w:color="auto"/>
              <w:left w:val="nil"/>
              <w:bottom w:val="single" w:sz="12" w:space="0" w:color="auto"/>
              <w:right w:val="nil"/>
            </w:tcBorders>
          </w:tcPr>
          <w:p w:rsidR="002B161B" w:rsidRPr="00B21ECB" w:rsidRDefault="008324BA" w:rsidP="00AB151D">
            <w:pPr>
              <w:bidi w:val="0"/>
              <w:spacing w:line="456" w:lineRule="auto"/>
              <w:jc w:val="right"/>
              <w:rPr>
                <w:rFonts w:asciiTheme="majorBidi" w:hAnsiTheme="majorBidi" w:cstheme="majorBidi"/>
                <w:b/>
                <w:bCs/>
                <w:sz w:val="16"/>
                <w:szCs w:val="16"/>
              </w:rPr>
            </w:pPr>
            <w:r w:rsidRPr="00B21ECB">
              <w:rPr>
                <w:rFonts w:asciiTheme="majorBidi" w:hAnsiTheme="majorBidi" w:cstheme="majorBidi"/>
                <w:b/>
                <w:bCs/>
                <w:sz w:val="16"/>
                <w:szCs w:val="16"/>
              </w:rPr>
              <w:t>2010</w:t>
            </w:r>
            <w:r w:rsidR="002B161B" w:rsidRPr="00B21ECB">
              <w:rPr>
                <w:rFonts w:asciiTheme="majorBidi" w:hAnsiTheme="majorBidi" w:cstheme="majorBidi"/>
                <w:b/>
                <w:bCs/>
                <w:sz w:val="16"/>
                <w:szCs w:val="16"/>
              </w:rPr>
              <w:t xml:space="preserve"> price change</w:t>
            </w:r>
            <w:r w:rsidR="00AB151D" w:rsidRPr="00B21ECB">
              <w:rPr>
                <w:rFonts w:asciiTheme="majorBidi" w:hAnsiTheme="majorBidi" w:cstheme="majorBidi"/>
                <w:b/>
                <w:bCs/>
                <w:sz w:val="16"/>
                <w:szCs w:val="16"/>
              </w:rPr>
              <w:t>.</w:t>
            </w:r>
            <w:r w:rsidR="007F49A6" w:rsidRPr="00B21ECB">
              <w:rPr>
                <w:rFonts w:asciiTheme="majorBidi" w:hAnsiTheme="majorBidi" w:cstheme="majorBidi"/>
                <w:b/>
                <w:bCs/>
                <w:sz w:val="16"/>
                <w:szCs w:val="16"/>
              </w:rPr>
              <w:t xml:space="preserve"> </w:t>
            </w:r>
            <w:r w:rsidR="00AB151D" w:rsidRPr="00B21ECB">
              <w:rPr>
                <w:rFonts w:asciiTheme="majorBidi" w:hAnsiTheme="majorBidi" w:cstheme="majorBidi"/>
                <w:b/>
                <w:bCs/>
                <w:sz w:val="16"/>
                <w:szCs w:val="16"/>
              </w:rPr>
              <w:t>%</w:t>
            </w:r>
          </w:p>
        </w:tc>
      </w:tr>
      <w:tr w:rsidR="00B21ECB" w:rsidRPr="00B21ECB" w:rsidTr="002B720B">
        <w:trPr>
          <w:jc w:val="center"/>
        </w:trPr>
        <w:tc>
          <w:tcPr>
            <w:tcW w:w="2473" w:type="dxa"/>
            <w:tcBorders>
              <w:top w:val="single" w:sz="12" w:space="0" w:color="auto"/>
              <w:left w:val="nil"/>
              <w:bottom w:val="dotted" w:sz="4" w:space="0" w:color="auto"/>
              <w:right w:val="nil"/>
            </w:tcBorders>
          </w:tcPr>
          <w:p w:rsidR="00B21ECB" w:rsidRPr="00B21ECB" w:rsidRDefault="00B21ECB" w:rsidP="008324BA">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Oil octane 98 in LBP</w:t>
            </w:r>
          </w:p>
        </w:tc>
        <w:tc>
          <w:tcPr>
            <w:tcW w:w="1980" w:type="dxa"/>
            <w:tcBorders>
              <w:top w:val="single" w:sz="12"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31,700</w:t>
            </w:r>
          </w:p>
        </w:tc>
        <w:tc>
          <w:tcPr>
            <w:tcW w:w="2068" w:type="dxa"/>
            <w:tcBorders>
              <w:top w:val="single" w:sz="12"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35,700</w:t>
            </w:r>
          </w:p>
        </w:tc>
        <w:tc>
          <w:tcPr>
            <w:tcW w:w="2843" w:type="dxa"/>
            <w:tcBorders>
              <w:top w:val="single" w:sz="12"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12.6%</w:t>
            </w:r>
          </w:p>
        </w:tc>
      </w:tr>
      <w:tr w:rsidR="00B21ECB" w:rsidRPr="00B21ECB" w:rsidTr="002B720B">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Oil octane 95 in LBP</w:t>
            </w:r>
          </w:p>
        </w:tc>
        <w:tc>
          <w:tcPr>
            <w:tcW w:w="1980"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31,000</w:t>
            </w:r>
          </w:p>
        </w:tc>
        <w:tc>
          <w:tcPr>
            <w:tcW w:w="2068"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35,000</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12.9%</w:t>
            </w:r>
          </w:p>
        </w:tc>
      </w:tr>
      <w:tr w:rsidR="00B21ECB" w:rsidRPr="00B21ECB" w:rsidTr="002B720B">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Kerosene in LBP</w:t>
            </w:r>
          </w:p>
        </w:tc>
        <w:tc>
          <w:tcPr>
            <w:tcW w:w="1980"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19,300</w:t>
            </w:r>
          </w:p>
        </w:tc>
        <w:tc>
          <w:tcPr>
            <w:tcW w:w="2068"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23,700</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22.8%</w:t>
            </w:r>
          </w:p>
        </w:tc>
      </w:tr>
      <w:tr w:rsidR="00B21ECB" w:rsidRPr="00B21ECB" w:rsidTr="002B720B">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Mazout in LBP</w:t>
            </w:r>
          </w:p>
        </w:tc>
        <w:tc>
          <w:tcPr>
            <w:tcW w:w="1980"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16,300</w:t>
            </w:r>
          </w:p>
        </w:tc>
        <w:tc>
          <w:tcPr>
            <w:tcW w:w="2068"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24,000</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47.2%</w:t>
            </w:r>
          </w:p>
        </w:tc>
      </w:tr>
      <w:tr w:rsidR="00B21ECB" w:rsidRPr="00B21ECB" w:rsidTr="008324BA">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Deizel oil for vehicles in LBP</w:t>
            </w:r>
          </w:p>
        </w:tc>
        <w:tc>
          <w:tcPr>
            <w:tcW w:w="1980"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19,500</w:t>
            </w:r>
          </w:p>
        </w:tc>
        <w:tc>
          <w:tcPr>
            <w:tcW w:w="2068"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24,500</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25.6%</w:t>
            </w:r>
          </w:p>
        </w:tc>
      </w:tr>
      <w:tr w:rsidR="00B21ECB" w:rsidRPr="00B21ECB" w:rsidTr="002B720B">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Fuel-oil. Kkiloliter in LBP</w:t>
            </w:r>
          </w:p>
        </w:tc>
        <w:tc>
          <w:tcPr>
            <w:tcW w:w="1980"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494</w:t>
            </w:r>
          </w:p>
        </w:tc>
        <w:tc>
          <w:tcPr>
            <w:tcW w:w="2068"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520</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5.3%</w:t>
            </w:r>
          </w:p>
        </w:tc>
      </w:tr>
      <w:tr w:rsidR="00B21ECB" w:rsidRPr="00B21ECB" w:rsidTr="008324BA">
        <w:trPr>
          <w:jc w:val="center"/>
        </w:trPr>
        <w:tc>
          <w:tcPr>
            <w:tcW w:w="2473" w:type="dxa"/>
            <w:tcBorders>
              <w:top w:val="dotted" w:sz="4" w:space="0" w:color="auto"/>
              <w:left w:val="nil"/>
              <w:bottom w:val="dotted" w:sz="4" w:space="0" w:color="auto"/>
              <w:right w:val="nil"/>
            </w:tcBorders>
          </w:tcPr>
          <w:p w:rsidR="00B21ECB" w:rsidRPr="00B21ECB" w:rsidRDefault="00B21ECB" w:rsidP="008324BA">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Fuel-oil. 1% sulfur in LBP</w:t>
            </w:r>
          </w:p>
        </w:tc>
        <w:tc>
          <w:tcPr>
            <w:tcW w:w="1980"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501</w:t>
            </w:r>
          </w:p>
        </w:tc>
        <w:tc>
          <w:tcPr>
            <w:tcW w:w="2068"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543</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8.4%</w:t>
            </w:r>
          </w:p>
        </w:tc>
      </w:tr>
      <w:tr w:rsidR="00B21ECB" w:rsidRPr="00B21ECB" w:rsidTr="008324BA">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pacing w:val="-2"/>
                <w:sz w:val="16"/>
                <w:szCs w:val="16"/>
              </w:rPr>
            </w:pPr>
            <w:r w:rsidRPr="00B21ECB">
              <w:rPr>
                <w:rFonts w:asciiTheme="majorBidi" w:hAnsiTheme="majorBidi" w:cstheme="majorBidi"/>
                <w:spacing w:val="-2"/>
                <w:sz w:val="16"/>
                <w:szCs w:val="16"/>
              </w:rPr>
              <w:t xml:space="preserve">Liquid gas cylinder. 10 Kg </w:t>
            </w:r>
            <w:r w:rsidRPr="00B21ECB">
              <w:rPr>
                <w:rFonts w:asciiTheme="majorBidi" w:hAnsiTheme="majorBidi" w:cstheme="majorBidi"/>
                <w:sz w:val="16"/>
                <w:szCs w:val="16"/>
              </w:rPr>
              <w:t>in LBP</w:t>
            </w:r>
          </w:p>
        </w:tc>
        <w:tc>
          <w:tcPr>
            <w:tcW w:w="1980"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15,900</w:t>
            </w:r>
          </w:p>
        </w:tc>
        <w:tc>
          <w:tcPr>
            <w:tcW w:w="2068"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19,600</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23.3%</w:t>
            </w:r>
          </w:p>
        </w:tc>
      </w:tr>
      <w:tr w:rsidR="00B21ECB" w:rsidRPr="00B21ECB" w:rsidTr="008324BA">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pacing w:val="-2"/>
                <w:sz w:val="16"/>
                <w:szCs w:val="16"/>
              </w:rPr>
            </w:pPr>
            <w:r w:rsidRPr="00B21ECB">
              <w:rPr>
                <w:rFonts w:asciiTheme="majorBidi" w:hAnsiTheme="majorBidi" w:cstheme="majorBidi"/>
                <w:spacing w:val="-2"/>
                <w:sz w:val="16"/>
                <w:szCs w:val="16"/>
              </w:rPr>
              <w:t xml:space="preserve">Liquid gas cylinder. 12 Kg </w:t>
            </w:r>
            <w:r w:rsidRPr="00B21ECB">
              <w:rPr>
                <w:rFonts w:asciiTheme="majorBidi" w:hAnsiTheme="majorBidi" w:cstheme="majorBidi"/>
                <w:sz w:val="16"/>
                <w:szCs w:val="16"/>
              </w:rPr>
              <w:t>in LBP</w:t>
            </w:r>
          </w:p>
        </w:tc>
        <w:tc>
          <w:tcPr>
            <w:tcW w:w="1980"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19,300</w:t>
            </w:r>
          </w:p>
        </w:tc>
        <w:tc>
          <w:tcPr>
            <w:tcW w:w="2068" w:type="dxa"/>
            <w:tcBorders>
              <w:top w:val="dotted" w:sz="4" w:space="0" w:color="auto"/>
              <w:left w:val="nil"/>
              <w:bottom w:val="dotted" w:sz="4" w:space="0" w:color="auto"/>
              <w:right w:val="nil"/>
            </w:tcBorders>
            <w:vAlign w:val="center"/>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23,900</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23.8%</w:t>
            </w:r>
          </w:p>
        </w:tc>
      </w:tr>
      <w:tr w:rsidR="00B21ECB" w:rsidRPr="00B21ECB" w:rsidTr="002B720B">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Liquid gas. Tonnes in USD</w:t>
            </w:r>
          </w:p>
        </w:tc>
        <w:tc>
          <w:tcPr>
            <w:tcW w:w="1980"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904</w:t>
            </w:r>
          </w:p>
        </w:tc>
        <w:tc>
          <w:tcPr>
            <w:tcW w:w="2068"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1,149</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27.1%</w:t>
            </w:r>
          </w:p>
        </w:tc>
      </w:tr>
      <w:tr w:rsidR="00B21ECB" w:rsidRPr="00B21ECB" w:rsidTr="002B720B">
        <w:trPr>
          <w:jc w:val="center"/>
        </w:trPr>
        <w:tc>
          <w:tcPr>
            <w:tcW w:w="2473" w:type="dxa"/>
            <w:tcBorders>
              <w:top w:val="dotted" w:sz="4" w:space="0" w:color="auto"/>
              <w:left w:val="nil"/>
              <w:bottom w:val="dotted" w:sz="4"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Propane. Tonnes in USD</w:t>
            </w:r>
          </w:p>
        </w:tc>
        <w:tc>
          <w:tcPr>
            <w:tcW w:w="1980"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928</w:t>
            </w:r>
          </w:p>
        </w:tc>
        <w:tc>
          <w:tcPr>
            <w:tcW w:w="2068" w:type="dxa"/>
            <w:tcBorders>
              <w:top w:val="dotted" w:sz="4" w:space="0" w:color="auto"/>
              <w:left w:val="nil"/>
              <w:bottom w:val="dotted" w:sz="4"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1,226</w:t>
            </w:r>
          </w:p>
        </w:tc>
        <w:tc>
          <w:tcPr>
            <w:tcW w:w="2843" w:type="dxa"/>
            <w:tcBorders>
              <w:top w:val="dotted" w:sz="4" w:space="0" w:color="auto"/>
              <w:left w:val="nil"/>
              <w:bottom w:val="dotted" w:sz="4" w:space="0" w:color="auto"/>
              <w:right w:val="nil"/>
            </w:tcBorders>
            <w:vAlign w:val="center"/>
          </w:tcPr>
          <w:p w:rsidR="00B21ECB" w:rsidRPr="00B21ECB" w:rsidRDefault="00B21ECB">
            <w:pPr>
              <w:bidi w:val="0"/>
              <w:jc w:val="right"/>
              <w:rPr>
                <w:sz w:val="16"/>
                <w:szCs w:val="16"/>
              </w:rPr>
            </w:pPr>
            <w:r w:rsidRPr="00B21ECB">
              <w:rPr>
                <w:sz w:val="16"/>
                <w:szCs w:val="16"/>
              </w:rPr>
              <w:t>32.1%</w:t>
            </w:r>
          </w:p>
        </w:tc>
      </w:tr>
      <w:tr w:rsidR="00B21ECB" w:rsidRPr="00B21ECB" w:rsidTr="002B720B">
        <w:trPr>
          <w:jc w:val="center"/>
        </w:trPr>
        <w:tc>
          <w:tcPr>
            <w:tcW w:w="2473" w:type="dxa"/>
            <w:tcBorders>
              <w:top w:val="dotted" w:sz="4" w:space="0" w:color="auto"/>
              <w:left w:val="nil"/>
              <w:bottom w:val="single" w:sz="12" w:space="0" w:color="auto"/>
              <w:right w:val="nil"/>
            </w:tcBorders>
          </w:tcPr>
          <w:p w:rsidR="00B21ECB" w:rsidRPr="00B21ECB" w:rsidRDefault="00B21ECB" w:rsidP="003A4F65">
            <w:pPr>
              <w:bidi w:val="0"/>
              <w:spacing w:line="456" w:lineRule="auto"/>
              <w:rPr>
                <w:rFonts w:asciiTheme="majorBidi" w:hAnsiTheme="majorBidi" w:cstheme="majorBidi"/>
                <w:sz w:val="16"/>
                <w:szCs w:val="16"/>
              </w:rPr>
            </w:pPr>
            <w:r w:rsidRPr="00B21ECB">
              <w:rPr>
                <w:rFonts w:asciiTheme="majorBidi" w:hAnsiTheme="majorBidi" w:cstheme="majorBidi"/>
                <w:sz w:val="16"/>
                <w:szCs w:val="16"/>
              </w:rPr>
              <w:t>Butane. Tonnes</w:t>
            </w:r>
          </w:p>
        </w:tc>
        <w:tc>
          <w:tcPr>
            <w:tcW w:w="1980" w:type="dxa"/>
            <w:tcBorders>
              <w:top w:val="dotted" w:sz="4" w:space="0" w:color="auto"/>
              <w:left w:val="nil"/>
              <w:bottom w:val="single" w:sz="12"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898</w:t>
            </w:r>
          </w:p>
        </w:tc>
        <w:tc>
          <w:tcPr>
            <w:tcW w:w="2068" w:type="dxa"/>
            <w:tcBorders>
              <w:top w:val="dotted" w:sz="4" w:space="0" w:color="auto"/>
              <w:left w:val="nil"/>
              <w:bottom w:val="single" w:sz="12" w:space="0" w:color="auto"/>
              <w:right w:val="nil"/>
            </w:tcBorders>
          </w:tcPr>
          <w:p w:rsidR="00B21ECB" w:rsidRPr="00B21ECB" w:rsidRDefault="00B21ECB" w:rsidP="003A4F65">
            <w:pPr>
              <w:bidi w:val="0"/>
              <w:spacing w:line="456" w:lineRule="auto"/>
              <w:jc w:val="right"/>
              <w:rPr>
                <w:rFonts w:asciiTheme="majorBidi" w:hAnsiTheme="majorBidi" w:cstheme="majorBidi"/>
                <w:sz w:val="16"/>
                <w:szCs w:val="16"/>
              </w:rPr>
            </w:pPr>
            <w:r w:rsidRPr="00B21ECB">
              <w:rPr>
                <w:rFonts w:asciiTheme="majorBidi" w:hAnsiTheme="majorBidi" w:cstheme="majorBidi"/>
                <w:sz w:val="16"/>
                <w:szCs w:val="16"/>
              </w:rPr>
              <w:t>1,130</w:t>
            </w:r>
          </w:p>
        </w:tc>
        <w:tc>
          <w:tcPr>
            <w:tcW w:w="2843" w:type="dxa"/>
            <w:tcBorders>
              <w:top w:val="dotted" w:sz="4" w:space="0" w:color="auto"/>
              <w:left w:val="nil"/>
              <w:bottom w:val="single" w:sz="12" w:space="0" w:color="auto"/>
              <w:right w:val="nil"/>
            </w:tcBorders>
            <w:vAlign w:val="center"/>
          </w:tcPr>
          <w:p w:rsidR="00B21ECB" w:rsidRPr="00B21ECB" w:rsidRDefault="00B21ECB">
            <w:pPr>
              <w:bidi w:val="0"/>
              <w:jc w:val="right"/>
              <w:rPr>
                <w:sz w:val="16"/>
                <w:szCs w:val="16"/>
              </w:rPr>
            </w:pPr>
            <w:r w:rsidRPr="00B21ECB">
              <w:rPr>
                <w:sz w:val="16"/>
                <w:szCs w:val="16"/>
              </w:rPr>
              <w:t>25.8%</w:t>
            </w:r>
          </w:p>
        </w:tc>
      </w:tr>
    </w:tbl>
    <w:p w:rsidR="000A0D81" w:rsidRPr="00FF61F1" w:rsidRDefault="000A0D81" w:rsidP="00B21ECB">
      <w:pPr>
        <w:bidi w:val="0"/>
        <w:jc w:val="center"/>
        <w:rPr>
          <w:i/>
          <w:iCs/>
          <w:sz w:val="18"/>
          <w:szCs w:val="18"/>
        </w:rPr>
      </w:pPr>
      <w:r w:rsidRPr="00FF61F1">
        <w:rPr>
          <w:i/>
          <w:iCs/>
          <w:sz w:val="18"/>
          <w:szCs w:val="18"/>
        </w:rPr>
        <w:t xml:space="preserve">Table made by CAS based on </w:t>
      </w:r>
      <w:r w:rsidRPr="00FF61F1">
        <w:rPr>
          <w:rFonts w:eastAsia="Times New Roman"/>
          <w:i/>
          <w:iCs/>
          <w:noProof/>
          <w:sz w:val="20"/>
          <w:szCs w:val="20"/>
        </w:rPr>
        <w:t>the Ministry of Energy and Water data (</w:t>
      </w:r>
      <w:r w:rsidR="00B21ECB">
        <w:rPr>
          <w:rFonts w:eastAsia="Times New Roman"/>
          <w:i/>
          <w:iCs/>
          <w:noProof/>
          <w:sz w:val="20"/>
          <w:szCs w:val="20"/>
        </w:rPr>
        <w:t>2010</w:t>
      </w:r>
      <w:r w:rsidRPr="00FF61F1">
        <w:rPr>
          <w:rFonts w:eastAsia="Times New Roman"/>
          <w:i/>
          <w:iCs/>
          <w:noProof/>
          <w:sz w:val="20"/>
          <w:szCs w:val="20"/>
        </w:rPr>
        <w:t>)</w:t>
      </w:r>
    </w:p>
    <w:p w:rsidR="000A0D81" w:rsidRPr="00FF61F1" w:rsidRDefault="000A0D81" w:rsidP="007F49A6">
      <w:pPr>
        <w:bidi w:val="0"/>
        <w:jc w:val="both"/>
        <w:rPr>
          <w:noProof/>
          <w:sz w:val="22"/>
          <w:szCs w:val="22"/>
        </w:rPr>
      </w:pPr>
    </w:p>
    <w:p w:rsidR="00327B1F" w:rsidRDefault="00C86F9A" w:rsidP="00B21ECB">
      <w:pPr>
        <w:bidi w:val="0"/>
        <w:jc w:val="both"/>
        <w:rPr>
          <w:sz w:val="22"/>
          <w:szCs w:val="22"/>
        </w:rPr>
      </w:pPr>
      <w:r w:rsidRPr="00FF61F1">
        <w:rPr>
          <w:sz w:val="22"/>
          <w:szCs w:val="22"/>
        </w:rPr>
        <w:t xml:space="preserve">All </w:t>
      </w:r>
      <w:r w:rsidR="00287CCD">
        <w:rPr>
          <w:sz w:val="22"/>
          <w:szCs w:val="22"/>
        </w:rPr>
        <w:t>the</w:t>
      </w:r>
      <w:r w:rsidRPr="00FF61F1">
        <w:rPr>
          <w:sz w:val="22"/>
          <w:szCs w:val="22"/>
        </w:rPr>
        <w:t xml:space="preserve"> prices </w:t>
      </w:r>
      <w:r w:rsidR="00287CCD">
        <w:rPr>
          <w:sz w:val="22"/>
          <w:szCs w:val="22"/>
        </w:rPr>
        <w:t xml:space="preserve">increase in </w:t>
      </w:r>
      <w:r w:rsidR="00B21ECB">
        <w:rPr>
          <w:sz w:val="22"/>
          <w:szCs w:val="22"/>
        </w:rPr>
        <w:t>2010</w:t>
      </w:r>
      <w:r w:rsidR="00287CCD">
        <w:rPr>
          <w:sz w:val="22"/>
          <w:szCs w:val="22"/>
        </w:rPr>
        <w:t xml:space="preserve"> as they</w:t>
      </w:r>
      <w:r w:rsidRPr="00FF61F1">
        <w:rPr>
          <w:sz w:val="22"/>
          <w:szCs w:val="22"/>
        </w:rPr>
        <w:t xml:space="preserve"> follow</w:t>
      </w:r>
      <w:r w:rsidR="00F15DA4" w:rsidRPr="00FF61F1">
        <w:rPr>
          <w:sz w:val="22"/>
          <w:szCs w:val="22"/>
        </w:rPr>
        <w:t xml:space="preserve"> the</w:t>
      </w:r>
      <w:r w:rsidRPr="00FF61F1">
        <w:rPr>
          <w:sz w:val="22"/>
          <w:szCs w:val="22"/>
        </w:rPr>
        <w:t xml:space="preserve"> international petroleum products prices.</w:t>
      </w:r>
      <w:r w:rsidR="00B21ECB">
        <w:rPr>
          <w:sz w:val="22"/>
          <w:szCs w:val="22"/>
        </w:rPr>
        <w:t xml:space="preserve"> Mazout price in LBP displayed the highest increase (47.2%).</w:t>
      </w:r>
    </w:p>
    <w:p w:rsidR="007F49A6" w:rsidRPr="007F49A6" w:rsidRDefault="007F49A6" w:rsidP="007F49A6">
      <w:pPr>
        <w:bidi w:val="0"/>
        <w:jc w:val="both"/>
        <w:rPr>
          <w:sz w:val="10"/>
          <w:szCs w:val="10"/>
        </w:rPr>
      </w:pPr>
    </w:p>
    <w:p w:rsidR="003A4F65" w:rsidRDefault="003A4F65" w:rsidP="007F49A6">
      <w:pPr>
        <w:bidi w:val="0"/>
        <w:jc w:val="center"/>
        <w:rPr>
          <w:b/>
          <w:bCs/>
          <w:i/>
          <w:iCs/>
          <w:noProof/>
          <w:sz w:val="26"/>
          <w:szCs w:val="26"/>
        </w:rPr>
      </w:pPr>
    </w:p>
    <w:p w:rsidR="00C02480" w:rsidRDefault="00C02480" w:rsidP="007F49A6">
      <w:pPr>
        <w:bidi w:val="0"/>
        <w:rPr>
          <w:sz w:val="16"/>
          <w:szCs w:val="16"/>
        </w:rPr>
      </w:pPr>
    </w:p>
    <w:sectPr w:rsidR="00C02480" w:rsidSect="006055B4">
      <w:footerReference w:type="even" r:id="rId9"/>
      <w:footerReference w:type="default" r:id="rId10"/>
      <w:pgSz w:w="11906" w:h="16838" w:code="9"/>
      <w:pgMar w:top="1134" w:right="1134"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C90" w:rsidRDefault="00CE2C90">
      <w:r>
        <w:separator/>
      </w:r>
    </w:p>
  </w:endnote>
  <w:endnote w:type="continuationSeparator" w:id="1">
    <w:p w:rsidR="00CE2C90" w:rsidRDefault="00CE2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91" w:rsidRDefault="00BD5C80" w:rsidP="00B16C02">
    <w:pPr>
      <w:pStyle w:val="Footer"/>
      <w:framePr w:wrap="around" w:vAnchor="text" w:hAnchor="text" w:xAlign="center" w:y="1"/>
      <w:rPr>
        <w:rStyle w:val="PageNumber"/>
      </w:rPr>
    </w:pPr>
    <w:r>
      <w:rPr>
        <w:rStyle w:val="PageNumber"/>
        <w:rtl/>
      </w:rPr>
      <w:fldChar w:fldCharType="begin"/>
    </w:r>
    <w:r w:rsidR="00B30791">
      <w:rPr>
        <w:rStyle w:val="PageNumber"/>
      </w:rPr>
      <w:instrText xml:space="preserve">PAGE  </w:instrText>
    </w:r>
    <w:r>
      <w:rPr>
        <w:rStyle w:val="PageNumber"/>
        <w:rtl/>
      </w:rPr>
      <w:fldChar w:fldCharType="end"/>
    </w:r>
  </w:p>
  <w:p w:rsidR="00B30791" w:rsidRDefault="00B307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712782"/>
      <w:docPartObj>
        <w:docPartGallery w:val="Page Numbers (Bottom of Page)"/>
        <w:docPartUnique/>
      </w:docPartObj>
    </w:sdtPr>
    <w:sdtContent>
      <w:p w:rsidR="00B30791" w:rsidRDefault="00BD5C80">
        <w:pPr>
          <w:pStyle w:val="Footer"/>
          <w:jc w:val="center"/>
        </w:pPr>
        <w:fldSimple w:instr=" PAGE   \* MERGEFORMAT ">
          <w:r w:rsidR="00B5347B">
            <w:rPr>
              <w:noProof/>
              <w:rtl/>
            </w:rPr>
            <w:t>2</w:t>
          </w:r>
        </w:fldSimple>
      </w:p>
    </w:sdtContent>
  </w:sdt>
  <w:p w:rsidR="00B30791" w:rsidRDefault="00B307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C90" w:rsidRDefault="00CE2C90">
      <w:r>
        <w:separator/>
      </w:r>
    </w:p>
  </w:footnote>
  <w:footnote w:type="continuationSeparator" w:id="1">
    <w:p w:rsidR="00CE2C90" w:rsidRDefault="00CE2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5584"/>
    <w:multiLevelType w:val="hybridMultilevel"/>
    <w:tmpl w:val="D1DA4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B92479"/>
    <w:multiLevelType w:val="hybridMultilevel"/>
    <w:tmpl w:val="CBB6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16D6F"/>
    <w:multiLevelType w:val="hybridMultilevel"/>
    <w:tmpl w:val="FC526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281A8B"/>
    <w:multiLevelType w:val="hybridMultilevel"/>
    <w:tmpl w:val="E77C0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A92220"/>
    <w:multiLevelType w:val="hybridMultilevel"/>
    <w:tmpl w:val="A98E5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D54BC4"/>
    <w:multiLevelType w:val="hybridMultilevel"/>
    <w:tmpl w:val="A62EE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4272E6"/>
    <w:multiLevelType w:val="hybridMultilevel"/>
    <w:tmpl w:val="6E94C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C42912"/>
    <w:rsid w:val="0000119B"/>
    <w:rsid w:val="00002C56"/>
    <w:rsid w:val="0000317A"/>
    <w:rsid w:val="000038F6"/>
    <w:rsid w:val="00004DC4"/>
    <w:rsid w:val="00006770"/>
    <w:rsid w:val="00006A49"/>
    <w:rsid w:val="00010AC5"/>
    <w:rsid w:val="00010BC9"/>
    <w:rsid w:val="000145C7"/>
    <w:rsid w:val="00014679"/>
    <w:rsid w:val="0001487C"/>
    <w:rsid w:val="000149F6"/>
    <w:rsid w:val="00014E13"/>
    <w:rsid w:val="00015123"/>
    <w:rsid w:val="000161A4"/>
    <w:rsid w:val="000168FC"/>
    <w:rsid w:val="00016A4A"/>
    <w:rsid w:val="00022064"/>
    <w:rsid w:val="0002422D"/>
    <w:rsid w:val="00024688"/>
    <w:rsid w:val="00025494"/>
    <w:rsid w:val="0002561C"/>
    <w:rsid w:val="00025EC4"/>
    <w:rsid w:val="00025FF9"/>
    <w:rsid w:val="00030196"/>
    <w:rsid w:val="00030726"/>
    <w:rsid w:val="00030DDC"/>
    <w:rsid w:val="00032C18"/>
    <w:rsid w:val="00032D5E"/>
    <w:rsid w:val="0003315D"/>
    <w:rsid w:val="0003431B"/>
    <w:rsid w:val="00034AF1"/>
    <w:rsid w:val="00037907"/>
    <w:rsid w:val="00040416"/>
    <w:rsid w:val="0004133C"/>
    <w:rsid w:val="000415DE"/>
    <w:rsid w:val="00042225"/>
    <w:rsid w:val="00042F14"/>
    <w:rsid w:val="00043E9D"/>
    <w:rsid w:val="0004425D"/>
    <w:rsid w:val="00045B90"/>
    <w:rsid w:val="0004662F"/>
    <w:rsid w:val="000469F5"/>
    <w:rsid w:val="000475F8"/>
    <w:rsid w:val="00047CEA"/>
    <w:rsid w:val="00051580"/>
    <w:rsid w:val="00051884"/>
    <w:rsid w:val="00051EBD"/>
    <w:rsid w:val="00053214"/>
    <w:rsid w:val="000535D4"/>
    <w:rsid w:val="00055F78"/>
    <w:rsid w:val="0005783F"/>
    <w:rsid w:val="00057F77"/>
    <w:rsid w:val="00061BF7"/>
    <w:rsid w:val="0006211C"/>
    <w:rsid w:val="00062569"/>
    <w:rsid w:val="00063379"/>
    <w:rsid w:val="0006429B"/>
    <w:rsid w:val="0006507C"/>
    <w:rsid w:val="00065198"/>
    <w:rsid w:val="00066181"/>
    <w:rsid w:val="00066467"/>
    <w:rsid w:val="00066BB1"/>
    <w:rsid w:val="00070FE0"/>
    <w:rsid w:val="000734B1"/>
    <w:rsid w:val="00074983"/>
    <w:rsid w:val="000750D2"/>
    <w:rsid w:val="00075D96"/>
    <w:rsid w:val="00077406"/>
    <w:rsid w:val="00080B4A"/>
    <w:rsid w:val="00081A8B"/>
    <w:rsid w:val="00082E4E"/>
    <w:rsid w:val="00086A8E"/>
    <w:rsid w:val="00087C9E"/>
    <w:rsid w:val="0009129C"/>
    <w:rsid w:val="0009141C"/>
    <w:rsid w:val="0009162D"/>
    <w:rsid w:val="00092628"/>
    <w:rsid w:val="00092969"/>
    <w:rsid w:val="0009328B"/>
    <w:rsid w:val="000937AB"/>
    <w:rsid w:val="00094FF5"/>
    <w:rsid w:val="000A03E1"/>
    <w:rsid w:val="000A0D81"/>
    <w:rsid w:val="000A5C81"/>
    <w:rsid w:val="000A784D"/>
    <w:rsid w:val="000B021C"/>
    <w:rsid w:val="000B28FF"/>
    <w:rsid w:val="000B33B9"/>
    <w:rsid w:val="000B5260"/>
    <w:rsid w:val="000B58A2"/>
    <w:rsid w:val="000B7CEF"/>
    <w:rsid w:val="000B7EFF"/>
    <w:rsid w:val="000C287C"/>
    <w:rsid w:val="000C3021"/>
    <w:rsid w:val="000C3651"/>
    <w:rsid w:val="000C3A5B"/>
    <w:rsid w:val="000C4B6E"/>
    <w:rsid w:val="000C7957"/>
    <w:rsid w:val="000D0B1E"/>
    <w:rsid w:val="000D2505"/>
    <w:rsid w:val="000D3CF0"/>
    <w:rsid w:val="000D6540"/>
    <w:rsid w:val="000D7C4C"/>
    <w:rsid w:val="000E3604"/>
    <w:rsid w:val="000E5CBC"/>
    <w:rsid w:val="000E6609"/>
    <w:rsid w:val="000E7A5F"/>
    <w:rsid w:val="000F2E3E"/>
    <w:rsid w:val="000F2FAB"/>
    <w:rsid w:val="000F3B15"/>
    <w:rsid w:val="000F3F86"/>
    <w:rsid w:val="000F5DDB"/>
    <w:rsid w:val="000F6895"/>
    <w:rsid w:val="000F6A6D"/>
    <w:rsid w:val="000F7AD0"/>
    <w:rsid w:val="0010136D"/>
    <w:rsid w:val="001045A0"/>
    <w:rsid w:val="00110A5A"/>
    <w:rsid w:val="00110CB5"/>
    <w:rsid w:val="0011401B"/>
    <w:rsid w:val="001164A8"/>
    <w:rsid w:val="00116CFD"/>
    <w:rsid w:val="00117CED"/>
    <w:rsid w:val="00117F99"/>
    <w:rsid w:val="00117FA4"/>
    <w:rsid w:val="001208F8"/>
    <w:rsid w:val="0012136F"/>
    <w:rsid w:val="00123993"/>
    <w:rsid w:val="001255A1"/>
    <w:rsid w:val="00126287"/>
    <w:rsid w:val="001267B6"/>
    <w:rsid w:val="00126DC8"/>
    <w:rsid w:val="00127058"/>
    <w:rsid w:val="00130634"/>
    <w:rsid w:val="00131FF8"/>
    <w:rsid w:val="00132623"/>
    <w:rsid w:val="00134A6A"/>
    <w:rsid w:val="00134CDB"/>
    <w:rsid w:val="00135067"/>
    <w:rsid w:val="001352E3"/>
    <w:rsid w:val="001378A3"/>
    <w:rsid w:val="00137F1B"/>
    <w:rsid w:val="001412E7"/>
    <w:rsid w:val="00143D75"/>
    <w:rsid w:val="00144615"/>
    <w:rsid w:val="00145F62"/>
    <w:rsid w:val="00146A36"/>
    <w:rsid w:val="001473A1"/>
    <w:rsid w:val="001478BB"/>
    <w:rsid w:val="00147ACC"/>
    <w:rsid w:val="00147D28"/>
    <w:rsid w:val="00147E22"/>
    <w:rsid w:val="00150ECB"/>
    <w:rsid w:val="001511C2"/>
    <w:rsid w:val="00151509"/>
    <w:rsid w:val="00151AB7"/>
    <w:rsid w:val="00152BED"/>
    <w:rsid w:val="00153050"/>
    <w:rsid w:val="0015336C"/>
    <w:rsid w:val="00153E2F"/>
    <w:rsid w:val="00155CC0"/>
    <w:rsid w:val="00157BB4"/>
    <w:rsid w:val="0016025A"/>
    <w:rsid w:val="0016031C"/>
    <w:rsid w:val="00160A2A"/>
    <w:rsid w:val="001618E3"/>
    <w:rsid w:val="00161EE0"/>
    <w:rsid w:val="00163B5A"/>
    <w:rsid w:val="00166C23"/>
    <w:rsid w:val="0016744F"/>
    <w:rsid w:val="00167580"/>
    <w:rsid w:val="00167811"/>
    <w:rsid w:val="00167B83"/>
    <w:rsid w:val="00171816"/>
    <w:rsid w:val="00172D58"/>
    <w:rsid w:val="00175BDA"/>
    <w:rsid w:val="00177D19"/>
    <w:rsid w:val="00177D6A"/>
    <w:rsid w:val="00180EBC"/>
    <w:rsid w:val="00184033"/>
    <w:rsid w:val="0018558F"/>
    <w:rsid w:val="00186CBD"/>
    <w:rsid w:val="0019185A"/>
    <w:rsid w:val="00192BA4"/>
    <w:rsid w:val="001936ED"/>
    <w:rsid w:val="00193AD8"/>
    <w:rsid w:val="00193AEA"/>
    <w:rsid w:val="001948D2"/>
    <w:rsid w:val="001960A1"/>
    <w:rsid w:val="0019781C"/>
    <w:rsid w:val="00197922"/>
    <w:rsid w:val="001A08DD"/>
    <w:rsid w:val="001A0CF3"/>
    <w:rsid w:val="001A0D12"/>
    <w:rsid w:val="001A2CB9"/>
    <w:rsid w:val="001A444C"/>
    <w:rsid w:val="001A5489"/>
    <w:rsid w:val="001A6DC7"/>
    <w:rsid w:val="001B3130"/>
    <w:rsid w:val="001B4C96"/>
    <w:rsid w:val="001B4D7B"/>
    <w:rsid w:val="001B53CF"/>
    <w:rsid w:val="001B6D56"/>
    <w:rsid w:val="001B70E2"/>
    <w:rsid w:val="001B70FD"/>
    <w:rsid w:val="001B7255"/>
    <w:rsid w:val="001C1EC1"/>
    <w:rsid w:val="001C2232"/>
    <w:rsid w:val="001C2523"/>
    <w:rsid w:val="001C3438"/>
    <w:rsid w:val="001C3E98"/>
    <w:rsid w:val="001C504F"/>
    <w:rsid w:val="001D0989"/>
    <w:rsid w:val="001D1185"/>
    <w:rsid w:val="001D390F"/>
    <w:rsid w:val="001D5C10"/>
    <w:rsid w:val="001D68E5"/>
    <w:rsid w:val="001D6B9E"/>
    <w:rsid w:val="001D6D95"/>
    <w:rsid w:val="001D7F9D"/>
    <w:rsid w:val="001E20D4"/>
    <w:rsid w:val="001E2E49"/>
    <w:rsid w:val="001E3381"/>
    <w:rsid w:val="001E450F"/>
    <w:rsid w:val="001E6845"/>
    <w:rsid w:val="001E71C1"/>
    <w:rsid w:val="001E7469"/>
    <w:rsid w:val="001F14D2"/>
    <w:rsid w:val="001F1908"/>
    <w:rsid w:val="001F1DBF"/>
    <w:rsid w:val="001F425A"/>
    <w:rsid w:val="001F7106"/>
    <w:rsid w:val="002026EA"/>
    <w:rsid w:val="00203F06"/>
    <w:rsid w:val="00204BC0"/>
    <w:rsid w:val="00204D14"/>
    <w:rsid w:val="0020599E"/>
    <w:rsid w:val="00207108"/>
    <w:rsid w:val="00207F56"/>
    <w:rsid w:val="0021073C"/>
    <w:rsid w:val="00212C60"/>
    <w:rsid w:val="00212E49"/>
    <w:rsid w:val="00214B1F"/>
    <w:rsid w:val="00222C18"/>
    <w:rsid w:val="00227A74"/>
    <w:rsid w:val="00227CF0"/>
    <w:rsid w:val="00232403"/>
    <w:rsid w:val="0023287E"/>
    <w:rsid w:val="00233970"/>
    <w:rsid w:val="002343FB"/>
    <w:rsid w:val="00234BF2"/>
    <w:rsid w:val="00242B20"/>
    <w:rsid w:val="002439BF"/>
    <w:rsid w:val="00244669"/>
    <w:rsid w:val="00244D8C"/>
    <w:rsid w:val="0024782F"/>
    <w:rsid w:val="0025129A"/>
    <w:rsid w:val="00251AAD"/>
    <w:rsid w:val="00252418"/>
    <w:rsid w:val="00253550"/>
    <w:rsid w:val="00256B89"/>
    <w:rsid w:val="002576CF"/>
    <w:rsid w:val="00260A7B"/>
    <w:rsid w:val="00260CC1"/>
    <w:rsid w:val="00261C1D"/>
    <w:rsid w:val="002628B2"/>
    <w:rsid w:val="0026417E"/>
    <w:rsid w:val="0026641C"/>
    <w:rsid w:val="00266420"/>
    <w:rsid w:val="00266689"/>
    <w:rsid w:val="00267394"/>
    <w:rsid w:val="00270268"/>
    <w:rsid w:val="00271AC5"/>
    <w:rsid w:val="0027282C"/>
    <w:rsid w:val="0027550B"/>
    <w:rsid w:val="0027651B"/>
    <w:rsid w:val="00276F34"/>
    <w:rsid w:val="00280A5B"/>
    <w:rsid w:val="00280F98"/>
    <w:rsid w:val="0028723A"/>
    <w:rsid w:val="00287A2D"/>
    <w:rsid w:val="00287CCD"/>
    <w:rsid w:val="00291808"/>
    <w:rsid w:val="00293049"/>
    <w:rsid w:val="002934B8"/>
    <w:rsid w:val="00293B6D"/>
    <w:rsid w:val="00293D2D"/>
    <w:rsid w:val="00293EA2"/>
    <w:rsid w:val="002943CF"/>
    <w:rsid w:val="002A0861"/>
    <w:rsid w:val="002A08A6"/>
    <w:rsid w:val="002A147B"/>
    <w:rsid w:val="002A2BAE"/>
    <w:rsid w:val="002A3939"/>
    <w:rsid w:val="002A3DFB"/>
    <w:rsid w:val="002A4A0C"/>
    <w:rsid w:val="002A6EBA"/>
    <w:rsid w:val="002A7333"/>
    <w:rsid w:val="002A7639"/>
    <w:rsid w:val="002B161B"/>
    <w:rsid w:val="002B469B"/>
    <w:rsid w:val="002B6FB0"/>
    <w:rsid w:val="002B77FA"/>
    <w:rsid w:val="002C0A4D"/>
    <w:rsid w:val="002C2D23"/>
    <w:rsid w:val="002C33FD"/>
    <w:rsid w:val="002C3E48"/>
    <w:rsid w:val="002C3FE1"/>
    <w:rsid w:val="002C4088"/>
    <w:rsid w:val="002C4540"/>
    <w:rsid w:val="002C538F"/>
    <w:rsid w:val="002C5E92"/>
    <w:rsid w:val="002D0619"/>
    <w:rsid w:val="002D07A5"/>
    <w:rsid w:val="002D2BB4"/>
    <w:rsid w:val="002D3FB5"/>
    <w:rsid w:val="002D46FC"/>
    <w:rsid w:val="002D4801"/>
    <w:rsid w:val="002D4DAE"/>
    <w:rsid w:val="002D5679"/>
    <w:rsid w:val="002D57DE"/>
    <w:rsid w:val="002D6579"/>
    <w:rsid w:val="002D715E"/>
    <w:rsid w:val="002E10F8"/>
    <w:rsid w:val="002E1470"/>
    <w:rsid w:val="002E4A80"/>
    <w:rsid w:val="002E5570"/>
    <w:rsid w:val="002E6C82"/>
    <w:rsid w:val="002E6E6D"/>
    <w:rsid w:val="002E7CAC"/>
    <w:rsid w:val="002E7D1C"/>
    <w:rsid w:val="002F01B6"/>
    <w:rsid w:val="002F3F48"/>
    <w:rsid w:val="002F42A5"/>
    <w:rsid w:val="002F4A77"/>
    <w:rsid w:val="002F523D"/>
    <w:rsid w:val="002F63BE"/>
    <w:rsid w:val="002F6528"/>
    <w:rsid w:val="002F6E8C"/>
    <w:rsid w:val="002F75CA"/>
    <w:rsid w:val="00300110"/>
    <w:rsid w:val="0030016B"/>
    <w:rsid w:val="003013E9"/>
    <w:rsid w:val="00303A9B"/>
    <w:rsid w:val="00304284"/>
    <w:rsid w:val="0030492D"/>
    <w:rsid w:val="0030505A"/>
    <w:rsid w:val="0030609F"/>
    <w:rsid w:val="00307E80"/>
    <w:rsid w:val="003108B1"/>
    <w:rsid w:val="0031235F"/>
    <w:rsid w:val="00312839"/>
    <w:rsid w:val="0031304E"/>
    <w:rsid w:val="00313E93"/>
    <w:rsid w:val="00320FDF"/>
    <w:rsid w:val="00323606"/>
    <w:rsid w:val="0032387D"/>
    <w:rsid w:val="003248B2"/>
    <w:rsid w:val="0032588D"/>
    <w:rsid w:val="003258DD"/>
    <w:rsid w:val="00326019"/>
    <w:rsid w:val="00326253"/>
    <w:rsid w:val="00326B07"/>
    <w:rsid w:val="00326D65"/>
    <w:rsid w:val="00327B1F"/>
    <w:rsid w:val="0033007D"/>
    <w:rsid w:val="00331A26"/>
    <w:rsid w:val="00334871"/>
    <w:rsid w:val="003356AD"/>
    <w:rsid w:val="00340149"/>
    <w:rsid w:val="00340DDD"/>
    <w:rsid w:val="00341D11"/>
    <w:rsid w:val="0034378B"/>
    <w:rsid w:val="00343E7A"/>
    <w:rsid w:val="0034446B"/>
    <w:rsid w:val="00346355"/>
    <w:rsid w:val="0034647B"/>
    <w:rsid w:val="003473BE"/>
    <w:rsid w:val="003520BC"/>
    <w:rsid w:val="003531A6"/>
    <w:rsid w:val="00353C35"/>
    <w:rsid w:val="003545AB"/>
    <w:rsid w:val="003566EF"/>
    <w:rsid w:val="0035692F"/>
    <w:rsid w:val="00356B0F"/>
    <w:rsid w:val="00356F68"/>
    <w:rsid w:val="003579CD"/>
    <w:rsid w:val="003609C9"/>
    <w:rsid w:val="00360A09"/>
    <w:rsid w:val="00360A57"/>
    <w:rsid w:val="003614BB"/>
    <w:rsid w:val="003620FB"/>
    <w:rsid w:val="00364803"/>
    <w:rsid w:val="00364A48"/>
    <w:rsid w:val="00364CB6"/>
    <w:rsid w:val="0036798D"/>
    <w:rsid w:val="00367DB1"/>
    <w:rsid w:val="003711C1"/>
    <w:rsid w:val="003716F2"/>
    <w:rsid w:val="00372D9C"/>
    <w:rsid w:val="00374B37"/>
    <w:rsid w:val="003752CF"/>
    <w:rsid w:val="003754C4"/>
    <w:rsid w:val="00377E8F"/>
    <w:rsid w:val="00380823"/>
    <w:rsid w:val="0038097C"/>
    <w:rsid w:val="00380B8B"/>
    <w:rsid w:val="00380C22"/>
    <w:rsid w:val="00380CC4"/>
    <w:rsid w:val="003838D1"/>
    <w:rsid w:val="003845CA"/>
    <w:rsid w:val="00385735"/>
    <w:rsid w:val="003866C8"/>
    <w:rsid w:val="003915FE"/>
    <w:rsid w:val="00391EAC"/>
    <w:rsid w:val="00392726"/>
    <w:rsid w:val="003931AF"/>
    <w:rsid w:val="00393601"/>
    <w:rsid w:val="0039389B"/>
    <w:rsid w:val="00394765"/>
    <w:rsid w:val="00395B63"/>
    <w:rsid w:val="003A03D4"/>
    <w:rsid w:val="003A09F5"/>
    <w:rsid w:val="003A16B9"/>
    <w:rsid w:val="003A2C46"/>
    <w:rsid w:val="003A416C"/>
    <w:rsid w:val="003A4A53"/>
    <w:rsid w:val="003A4EDE"/>
    <w:rsid w:val="003A4F65"/>
    <w:rsid w:val="003A53A1"/>
    <w:rsid w:val="003A5586"/>
    <w:rsid w:val="003A6986"/>
    <w:rsid w:val="003A756D"/>
    <w:rsid w:val="003A7742"/>
    <w:rsid w:val="003B0D01"/>
    <w:rsid w:val="003B1457"/>
    <w:rsid w:val="003B1966"/>
    <w:rsid w:val="003B202A"/>
    <w:rsid w:val="003B3C30"/>
    <w:rsid w:val="003B3D36"/>
    <w:rsid w:val="003B4018"/>
    <w:rsid w:val="003B7F07"/>
    <w:rsid w:val="003C016E"/>
    <w:rsid w:val="003C06A9"/>
    <w:rsid w:val="003C10EF"/>
    <w:rsid w:val="003C663C"/>
    <w:rsid w:val="003C6857"/>
    <w:rsid w:val="003D170D"/>
    <w:rsid w:val="003D1A8D"/>
    <w:rsid w:val="003D20D6"/>
    <w:rsid w:val="003D241C"/>
    <w:rsid w:val="003D40FC"/>
    <w:rsid w:val="003D4924"/>
    <w:rsid w:val="003D4EC8"/>
    <w:rsid w:val="003D54E6"/>
    <w:rsid w:val="003D65AF"/>
    <w:rsid w:val="003D751D"/>
    <w:rsid w:val="003D7719"/>
    <w:rsid w:val="003E0625"/>
    <w:rsid w:val="003E0DA2"/>
    <w:rsid w:val="003E1C98"/>
    <w:rsid w:val="003E29C6"/>
    <w:rsid w:val="003E359D"/>
    <w:rsid w:val="003E523C"/>
    <w:rsid w:val="003E5548"/>
    <w:rsid w:val="003E6A5A"/>
    <w:rsid w:val="003E715A"/>
    <w:rsid w:val="003E756E"/>
    <w:rsid w:val="003F06A8"/>
    <w:rsid w:val="003F2BDB"/>
    <w:rsid w:val="003F377A"/>
    <w:rsid w:val="003F4E3F"/>
    <w:rsid w:val="003F6179"/>
    <w:rsid w:val="003F6496"/>
    <w:rsid w:val="003F73FB"/>
    <w:rsid w:val="004009BF"/>
    <w:rsid w:val="0040173E"/>
    <w:rsid w:val="0040206E"/>
    <w:rsid w:val="00402A5F"/>
    <w:rsid w:val="004047B8"/>
    <w:rsid w:val="0040495E"/>
    <w:rsid w:val="004049DF"/>
    <w:rsid w:val="00405228"/>
    <w:rsid w:val="0041008E"/>
    <w:rsid w:val="00411BCE"/>
    <w:rsid w:val="004124F2"/>
    <w:rsid w:val="00412764"/>
    <w:rsid w:val="00412CDE"/>
    <w:rsid w:val="00413760"/>
    <w:rsid w:val="00414014"/>
    <w:rsid w:val="0041537B"/>
    <w:rsid w:val="00415C87"/>
    <w:rsid w:val="00417F6F"/>
    <w:rsid w:val="00424E72"/>
    <w:rsid w:val="004250B3"/>
    <w:rsid w:val="00426814"/>
    <w:rsid w:val="004269E1"/>
    <w:rsid w:val="00426EB3"/>
    <w:rsid w:val="00431076"/>
    <w:rsid w:val="004363E3"/>
    <w:rsid w:val="0043640D"/>
    <w:rsid w:val="0043768F"/>
    <w:rsid w:val="00440CF2"/>
    <w:rsid w:val="00441890"/>
    <w:rsid w:val="00441A72"/>
    <w:rsid w:val="0044284B"/>
    <w:rsid w:val="00442B8E"/>
    <w:rsid w:val="00442C38"/>
    <w:rsid w:val="00443D30"/>
    <w:rsid w:val="00443E32"/>
    <w:rsid w:val="004448C6"/>
    <w:rsid w:val="00445079"/>
    <w:rsid w:val="004455F9"/>
    <w:rsid w:val="00447BAA"/>
    <w:rsid w:val="00452050"/>
    <w:rsid w:val="00457278"/>
    <w:rsid w:val="0046028B"/>
    <w:rsid w:val="004607F7"/>
    <w:rsid w:val="00461A87"/>
    <w:rsid w:val="004623F7"/>
    <w:rsid w:val="00462420"/>
    <w:rsid w:val="00462547"/>
    <w:rsid w:val="00462F64"/>
    <w:rsid w:val="004637C1"/>
    <w:rsid w:val="00463D69"/>
    <w:rsid w:val="004640CE"/>
    <w:rsid w:val="004642FF"/>
    <w:rsid w:val="0046540B"/>
    <w:rsid w:val="00466735"/>
    <w:rsid w:val="00467F8B"/>
    <w:rsid w:val="00470467"/>
    <w:rsid w:val="004732EE"/>
    <w:rsid w:val="004737E4"/>
    <w:rsid w:val="004739AD"/>
    <w:rsid w:val="0047403F"/>
    <w:rsid w:val="0047429D"/>
    <w:rsid w:val="0047432D"/>
    <w:rsid w:val="00474E6E"/>
    <w:rsid w:val="00476CF4"/>
    <w:rsid w:val="004779EA"/>
    <w:rsid w:val="00477B14"/>
    <w:rsid w:val="00481325"/>
    <w:rsid w:val="00481534"/>
    <w:rsid w:val="004818BF"/>
    <w:rsid w:val="0048312D"/>
    <w:rsid w:val="004839E5"/>
    <w:rsid w:val="00484145"/>
    <w:rsid w:val="00485DA5"/>
    <w:rsid w:val="0048607B"/>
    <w:rsid w:val="00487F10"/>
    <w:rsid w:val="00490B25"/>
    <w:rsid w:val="00491511"/>
    <w:rsid w:val="00491BDD"/>
    <w:rsid w:val="0049529D"/>
    <w:rsid w:val="0049599C"/>
    <w:rsid w:val="004A2368"/>
    <w:rsid w:val="004A23F9"/>
    <w:rsid w:val="004A3709"/>
    <w:rsid w:val="004A3959"/>
    <w:rsid w:val="004A3DD9"/>
    <w:rsid w:val="004A3F10"/>
    <w:rsid w:val="004A4139"/>
    <w:rsid w:val="004A42B1"/>
    <w:rsid w:val="004A4583"/>
    <w:rsid w:val="004A4D72"/>
    <w:rsid w:val="004A4DCB"/>
    <w:rsid w:val="004A5935"/>
    <w:rsid w:val="004A5D13"/>
    <w:rsid w:val="004A7390"/>
    <w:rsid w:val="004A7542"/>
    <w:rsid w:val="004A78CA"/>
    <w:rsid w:val="004A7918"/>
    <w:rsid w:val="004B4B24"/>
    <w:rsid w:val="004B4D95"/>
    <w:rsid w:val="004B616B"/>
    <w:rsid w:val="004B659C"/>
    <w:rsid w:val="004B69E8"/>
    <w:rsid w:val="004C04A7"/>
    <w:rsid w:val="004C070B"/>
    <w:rsid w:val="004C48F8"/>
    <w:rsid w:val="004C540A"/>
    <w:rsid w:val="004C6B27"/>
    <w:rsid w:val="004C7346"/>
    <w:rsid w:val="004D05FD"/>
    <w:rsid w:val="004D09D0"/>
    <w:rsid w:val="004D0E6C"/>
    <w:rsid w:val="004D28AA"/>
    <w:rsid w:val="004D3077"/>
    <w:rsid w:val="004D3507"/>
    <w:rsid w:val="004D3E95"/>
    <w:rsid w:val="004D3F27"/>
    <w:rsid w:val="004D6110"/>
    <w:rsid w:val="004D72A2"/>
    <w:rsid w:val="004D73E8"/>
    <w:rsid w:val="004D7421"/>
    <w:rsid w:val="004E036C"/>
    <w:rsid w:val="004E1928"/>
    <w:rsid w:val="004E248C"/>
    <w:rsid w:val="004E369C"/>
    <w:rsid w:val="004E7C90"/>
    <w:rsid w:val="004F0059"/>
    <w:rsid w:val="004F3311"/>
    <w:rsid w:val="004F35AE"/>
    <w:rsid w:val="004F3626"/>
    <w:rsid w:val="004F3AAB"/>
    <w:rsid w:val="004F592A"/>
    <w:rsid w:val="004F7179"/>
    <w:rsid w:val="00501286"/>
    <w:rsid w:val="005039C9"/>
    <w:rsid w:val="00504E6C"/>
    <w:rsid w:val="0050627E"/>
    <w:rsid w:val="005070E7"/>
    <w:rsid w:val="0050734E"/>
    <w:rsid w:val="00510111"/>
    <w:rsid w:val="005129ED"/>
    <w:rsid w:val="00512CF3"/>
    <w:rsid w:val="00513669"/>
    <w:rsid w:val="00513BCA"/>
    <w:rsid w:val="00513DC9"/>
    <w:rsid w:val="00515F2B"/>
    <w:rsid w:val="0051679E"/>
    <w:rsid w:val="005170DF"/>
    <w:rsid w:val="00517763"/>
    <w:rsid w:val="00517FF0"/>
    <w:rsid w:val="00521BD7"/>
    <w:rsid w:val="00522196"/>
    <w:rsid w:val="00523EB0"/>
    <w:rsid w:val="0052551D"/>
    <w:rsid w:val="005256C2"/>
    <w:rsid w:val="005327EC"/>
    <w:rsid w:val="0053329B"/>
    <w:rsid w:val="00533B2F"/>
    <w:rsid w:val="00535995"/>
    <w:rsid w:val="0053642C"/>
    <w:rsid w:val="00541E5A"/>
    <w:rsid w:val="00541FCA"/>
    <w:rsid w:val="005425ED"/>
    <w:rsid w:val="00542CC7"/>
    <w:rsid w:val="00545071"/>
    <w:rsid w:val="00545380"/>
    <w:rsid w:val="005470B7"/>
    <w:rsid w:val="0055318B"/>
    <w:rsid w:val="005535C9"/>
    <w:rsid w:val="00555618"/>
    <w:rsid w:val="0055588D"/>
    <w:rsid w:val="0055641A"/>
    <w:rsid w:val="00557C5E"/>
    <w:rsid w:val="00562FD9"/>
    <w:rsid w:val="005645AC"/>
    <w:rsid w:val="00564AB3"/>
    <w:rsid w:val="005668BE"/>
    <w:rsid w:val="0056716C"/>
    <w:rsid w:val="00567422"/>
    <w:rsid w:val="00567768"/>
    <w:rsid w:val="00567BA3"/>
    <w:rsid w:val="0057160C"/>
    <w:rsid w:val="00572584"/>
    <w:rsid w:val="0057302B"/>
    <w:rsid w:val="005734BB"/>
    <w:rsid w:val="005735FD"/>
    <w:rsid w:val="00573C52"/>
    <w:rsid w:val="0057547A"/>
    <w:rsid w:val="00576446"/>
    <w:rsid w:val="00576910"/>
    <w:rsid w:val="005808A4"/>
    <w:rsid w:val="00582F4E"/>
    <w:rsid w:val="00584717"/>
    <w:rsid w:val="00584E2A"/>
    <w:rsid w:val="005851D1"/>
    <w:rsid w:val="00585F56"/>
    <w:rsid w:val="005900DE"/>
    <w:rsid w:val="0059194E"/>
    <w:rsid w:val="00593EDF"/>
    <w:rsid w:val="005941E7"/>
    <w:rsid w:val="005A17D3"/>
    <w:rsid w:val="005A2219"/>
    <w:rsid w:val="005A3E32"/>
    <w:rsid w:val="005A419B"/>
    <w:rsid w:val="005A5125"/>
    <w:rsid w:val="005A70BC"/>
    <w:rsid w:val="005A722B"/>
    <w:rsid w:val="005A734E"/>
    <w:rsid w:val="005A760C"/>
    <w:rsid w:val="005A7F1B"/>
    <w:rsid w:val="005B0ED4"/>
    <w:rsid w:val="005B13C6"/>
    <w:rsid w:val="005B2842"/>
    <w:rsid w:val="005B3EE1"/>
    <w:rsid w:val="005B41D1"/>
    <w:rsid w:val="005B6E36"/>
    <w:rsid w:val="005B7CFE"/>
    <w:rsid w:val="005C1376"/>
    <w:rsid w:val="005C1CEC"/>
    <w:rsid w:val="005C1FF3"/>
    <w:rsid w:val="005C2D63"/>
    <w:rsid w:val="005C3696"/>
    <w:rsid w:val="005C385C"/>
    <w:rsid w:val="005C4406"/>
    <w:rsid w:val="005C50C5"/>
    <w:rsid w:val="005C5273"/>
    <w:rsid w:val="005C5A32"/>
    <w:rsid w:val="005C5A97"/>
    <w:rsid w:val="005C6165"/>
    <w:rsid w:val="005C6EB4"/>
    <w:rsid w:val="005C76DB"/>
    <w:rsid w:val="005D09D2"/>
    <w:rsid w:val="005D30D5"/>
    <w:rsid w:val="005D4800"/>
    <w:rsid w:val="005D604E"/>
    <w:rsid w:val="005D716F"/>
    <w:rsid w:val="005D7E2E"/>
    <w:rsid w:val="005E00D9"/>
    <w:rsid w:val="005E021C"/>
    <w:rsid w:val="005E05DD"/>
    <w:rsid w:val="005E0B6B"/>
    <w:rsid w:val="005E0BB7"/>
    <w:rsid w:val="005E12B0"/>
    <w:rsid w:val="005E209B"/>
    <w:rsid w:val="005E2A5F"/>
    <w:rsid w:val="005E2CF3"/>
    <w:rsid w:val="005E373C"/>
    <w:rsid w:val="005E472D"/>
    <w:rsid w:val="005E5A89"/>
    <w:rsid w:val="005E5C72"/>
    <w:rsid w:val="005E7134"/>
    <w:rsid w:val="005F09EB"/>
    <w:rsid w:val="005F11CF"/>
    <w:rsid w:val="005F1363"/>
    <w:rsid w:val="005F1609"/>
    <w:rsid w:val="005F16D1"/>
    <w:rsid w:val="005F248F"/>
    <w:rsid w:val="005F2849"/>
    <w:rsid w:val="005F28BA"/>
    <w:rsid w:val="005F437E"/>
    <w:rsid w:val="005F4F5D"/>
    <w:rsid w:val="005F5AC7"/>
    <w:rsid w:val="005F74AF"/>
    <w:rsid w:val="006004D5"/>
    <w:rsid w:val="006016C4"/>
    <w:rsid w:val="00601DA9"/>
    <w:rsid w:val="00602ED7"/>
    <w:rsid w:val="00602EE1"/>
    <w:rsid w:val="006037DF"/>
    <w:rsid w:val="006055B4"/>
    <w:rsid w:val="0060588F"/>
    <w:rsid w:val="00610681"/>
    <w:rsid w:val="0061071C"/>
    <w:rsid w:val="00611410"/>
    <w:rsid w:val="0061244D"/>
    <w:rsid w:val="00612829"/>
    <w:rsid w:val="00612CB4"/>
    <w:rsid w:val="0061688C"/>
    <w:rsid w:val="00621282"/>
    <w:rsid w:val="006214A6"/>
    <w:rsid w:val="006225D9"/>
    <w:rsid w:val="006247EF"/>
    <w:rsid w:val="00625A20"/>
    <w:rsid w:val="00627860"/>
    <w:rsid w:val="0063220C"/>
    <w:rsid w:val="006344D9"/>
    <w:rsid w:val="00636FD7"/>
    <w:rsid w:val="006414D0"/>
    <w:rsid w:val="006418F9"/>
    <w:rsid w:val="00642280"/>
    <w:rsid w:val="006435E7"/>
    <w:rsid w:val="00643F74"/>
    <w:rsid w:val="0064405C"/>
    <w:rsid w:val="006449EA"/>
    <w:rsid w:val="00645F40"/>
    <w:rsid w:val="006469CA"/>
    <w:rsid w:val="00646E14"/>
    <w:rsid w:val="006505E8"/>
    <w:rsid w:val="00651841"/>
    <w:rsid w:val="0065414E"/>
    <w:rsid w:val="006541B9"/>
    <w:rsid w:val="00654335"/>
    <w:rsid w:val="00654876"/>
    <w:rsid w:val="0065788C"/>
    <w:rsid w:val="00660532"/>
    <w:rsid w:val="006610D3"/>
    <w:rsid w:val="006624F3"/>
    <w:rsid w:val="00662BA5"/>
    <w:rsid w:val="006672CF"/>
    <w:rsid w:val="00667CFC"/>
    <w:rsid w:val="006712A3"/>
    <w:rsid w:val="006717EE"/>
    <w:rsid w:val="00671E1E"/>
    <w:rsid w:val="006738FE"/>
    <w:rsid w:val="00673F7B"/>
    <w:rsid w:val="006749CB"/>
    <w:rsid w:val="00675700"/>
    <w:rsid w:val="006758C7"/>
    <w:rsid w:val="006764AB"/>
    <w:rsid w:val="00676D01"/>
    <w:rsid w:val="00676D80"/>
    <w:rsid w:val="00680037"/>
    <w:rsid w:val="00680AD8"/>
    <w:rsid w:val="00680C9A"/>
    <w:rsid w:val="00680D9D"/>
    <w:rsid w:val="006813AC"/>
    <w:rsid w:val="00681D7F"/>
    <w:rsid w:val="006841B1"/>
    <w:rsid w:val="006842F0"/>
    <w:rsid w:val="006849A6"/>
    <w:rsid w:val="006869F5"/>
    <w:rsid w:val="00686BB4"/>
    <w:rsid w:val="006930F3"/>
    <w:rsid w:val="00694F19"/>
    <w:rsid w:val="0069546D"/>
    <w:rsid w:val="00696915"/>
    <w:rsid w:val="00697E4E"/>
    <w:rsid w:val="006A02A2"/>
    <w:rsid w:val="006A02E5"/>
    <w:rsid w:val="006A08D0"/>
    <w:rsid w:val="006A156C"/>
    <w:rsid w:val="006A1709"/>
    <w:rsid w:val="006A1975"/>
    <w:rsid w:val="006A4822"/>
    <w:rsid w:val="006A5A7C"/>
    <w:rsid w:val="006A664A"/>
    <w:rsid w:val="006B0FA5"/>
    <w:rsid w:val="006B21E1"/>
    <w:rsid w:val="006B31F3"/>
    <w:rsid w:val="006C037C"/>
    <w:rsid w:val="006C18C2"/>
    <w:rsid w:val="006C29C6"/>
    <w:rsid w:val="006C2CCC"/>
    <w:rsid w:val="006C4CF0"/>
    <w:rsid w:val="006C5E05"/>
    <w:rsid w:val="006C67D0"/>
    <w:rsid w:val="006C7ADD"/>
    <w:rsid w:val="006D0ACE"/>
    <w:rsid w:val="006D2DDC"/>
    <w:rsid w:val="006E1146"/>
    <w:rsid w:val="006E1E77"/>
    <w:rsid w:val="006E27FE"/>
    <w:rsid w:val="006E45DD"/>
    <w:rsid w:val="006E4DFA"/>
    <w:rsid w:val="006E552A"/>
    <w:rsid w:val="006E6A13"/>
    <w:rsid w:val="006F007F"/>
    <w:rsid w:val="006F0870"/>
    <w:rsid w:val="006F0999"/>
    <w:rsid w:val="006F11FF"/>
    <w:rsid w:val="006F170C"/>
    <w:rsid w:val="006F208F"/>
    <w:rsid w:val="006F2A5D"/>
    <w:rsid w:val="006F3055"/>
    <w:rsid w:val="006F46A6"/>
    <w:rsid w:val="006F48E5"/>
    <w:rsid w:val="006F4EAF"/>
    <w:rsid w:val="007000CC"/>
    <w:rsid w:val="007023C2"/>
    <w:rsid w:val="007027CA"/>
    <w:rsid w:val="00702E63"/>
    <w:rsid w:val="00705E14"/>
    <w:rsid w:val="00705F45"/>
    <w:rsid w:val="007101D1"/>
    <w:rsid w:val="00712BCA"/>
    <w:rsid w:val="00713A20"/>
    <w:rsid w:val="00714AD0"/>
    <w:rsid w:val="00714D7A"/>
    <w:rsid w:val="00715111"/>
    <w:rsid w:val="00715394"/>
    <w:rsid w:val="0071697D"/>
    <w:rsid w:val="007170EE"/>
    <w:rsid w:val="0071786D"/>
    <w:rsid w:val="007219FB"/>
    <w:rsid w:val="00721C5B"/>
    <w:rsid w:val="0072201D"/>
    <w:rsid w:val="00722E6B"/>
    <w:rsid w:val="00724456"/>
    <w:rsid w:val="00725990"/>
    <w:rsid w:val="00725D21"/>
    <w:rsid w:val="0072625E"/>
    <w:rsid w:val="00731148"/>
    <w:rsid w:val="0073143C"/>
    <w:rsid w:val="0073194C"/>
    <w:rsid w:val="00731C18"/>
    <w:rsid w:val="00731DA2"/>
    <w:rsid w:val="0073235D"/>
    <w:rsid w:val="00732868"/>
    <w:rsid w:val="00733393"/>
    <w:rsid w:val="00734590"/>
    <w:rsid w:val="00734BC0"/>
    <w:rsid w:val="00734FB6"/>
    <w:rsid w:val="00737D7F"/>
    <w:rsid w:val="0074039B"/>
    <w:rsid w:val="00741508"/>
    <w:rsid w:val="00742E33"/>
    <w:rsid w:val="0074351C"/>
    <w:rsid w:val="007449D2"/>
    <w:rsid w:val="0074610E"/>
    <w:rsid w:val="007465FA"/>
    <w:rsid w:val="00747C1E"/>
    <w:rsid w:val="00751092"/>
    <w:rsid w:val="007516A9"/>
    <w:rsid w:val="007527C8"/>
    <w:rsid w:val="007538AA"/>
    <w:rsid w:val="007561C1"/>
    <w:rsid w:val="00756658"/>
    <w:rsid w:val="007601CE"/>
    <w:rsid w:val="00760879"/>
    <w:rsid w:val="007614C6"/>
    <w:rsid w:val="00761A3D"/>
    <w:rsid w:val="00764407"/>
    <w:rsid w:val="007647D5"/>
    <w:rsid w:val="00766CE4"/>
    <w:rsid w:val="00771986"/>
    <w:rsid w:val="0077219A"/>
    <w:rsid w:val="007722AB"/>
    <w:rsid w:val="00776C52"/>
    <w:rsid w:val="007776C0"/>
    <w:rsid w:val="00780954"/>
    <w:rsid w:val="007813EE"/>
    <w:rsid w:val="00781CFC"/>
    <w:rsid w:val="00783751"/>
    <w:rsid w:val="007840D8"/>
    <w:rsid w:val="0078415C"/>
    <w:rsid w:val="00784173"/>
    <w:rsid w:val="0078473E"/>
    <w:rsid w:val="00786C06"/>
    <w:rsid w:val="007911BF"/>
    <w:rsid w:val="00791DD9"/>
    <w:rsid w:val="00794116"/>
    <w:rsid w:val="0079415D"/>
    <w:rsid w:val="00794FE3"/>
    <w:rsid w:val="00794FE4"/>
    <w:rsid w:val="007A1ADF"/>
    <w:rsid w:val="007A2360"/>
    <w:rsid w:val="007A4436"/>
    <w:rsid w:val="007A525D"/>
    <w:rsid w:val="007A5C0B"/>
    <w:rsid w:val="007A608D"/>
    <w:rsid w:val="007A6231"/>
    <w:rsid w:val="007A6A3D"/>
    <w:rsid w:val="007A6D15"/>
    <w:rsid w:val="007A76EC"/>
    <w:rsid w:val="007A79EC"/>
    <w:rsid w:val="007B19E4"/>
    <w:rsid w:val="007B34A2"/>
    <w:rsid w:val="007B54BC"/>
    <w:rsid w:val="007B5AAF"/>
    <w:rsid w:val="007B619A"/>
    <w:rsid w:val="007B6BBE"/>
    <w:rsid w:val="007B78C8"/>
    <w:rsid w:val="007B79B5"/>
    <w:rsid w:val="007B7CE5"/>
    <w:rsid w:val="007C05C1"/>
    <w:rsid w:val="007C05F9"/>
    <w:rsid w:val="007C3C4F"/>
    <w:rsid w:val="007C4C90"/>
    <w:rsid w:val="007C4EFB"/>
    <w:rsid w:val="007C5BB7"/>
    <w:rsid w:val="007C60C8"/>
    <w:rsid w:val="007C63AF"/>
    <w:rsid w:val="007C7F5D"/>
    <w:rsid w:val="007D192F"/>
    <w:rsid w:val="007D22AA"/>
    <w:rsid w:val="007D230A"/>
    <w:rsid w:val="007D29EF"/>
    <w:rsid w:val="007D3B8A"/>
    <w:rsid w:val="007D3DFA"/>
    <w:rsid w:val="007D4FAD"/>
    <w:rsid w:val="007D5737"/>
    <w:rsid w:val="007D6A55"/>
    <w:rsid w:val="007D7A32"/>
    <w:rsid w:val="007E0129"/>
    <w:rsid w:val="007E0214"/>
    <w:rsid w:val="007E1AA2"/>
    <w:rsid w:val="007E1B8C"/>
    <w:rsid w:val="007E2092"/>
    <w:rsid w:val="007E3289"/>
    <w:rsid w:val="007E7156"/>
    <w:rsid w:val="007F117A"/>
    <w:rsid w:val="007F120A"/>
    <w:rsid w:val="007F26B5"/>
    <w:rsid w:val="007F44D8"/>
    <w:rsid w:val="007F4572"/>
    <w:rsid w:val="007F49A6"/>
    <w:rsid w:val="007F5CB6"/>
    <w:rsid w:val="007F5E9A"/>
    <w:rsid w:val="007F639B"/>
    <w:rsid w:val="007F75A9"/>
    <w:rsid w:val="008007F9"/>
    <w:rsid w:val="008036F6"/>
    <w:rsid w:val="008042D7"/>
    <w:rsid w:val="00806F32"/>
    <w:rsid w:val="00807036"/>
    <w:rsid w:val="0081195A"/>
    <w:rsid w:val="00812E4B"/>
    <w:rsid w:val="00813D28"/>
    <w:rsid w:val="00814239"/>
    <w:rsid w:val="008142C0"/>
    <w:rsid w:val="008145BE"/>
    <w:rsid w:val="0081502B"/>
    <w:rsid w:val="00815331"/>
    <w:rsid w:val="00815B49"/>
    <w:rsid w:val="0081765B"/>
    <w:rsid w:val="00822EB7"/>
    <w:rsid w:val="008245D2"/>
    <w:rsid w:val="00825939"/>
    <w:rsid w:val="00825DAE"/>
    <w:rsid w:val="00825F87"/>
    <w:rsid w:val="00826170"/>
    <w:rsid w:val="008264FB"/>
    <w:rsid w:val="00830F49"/>
    <w:rsid w:val="008324BA"/>
    <w:rsid w:val="008344D1"/>
    <w:rsid w:val="0083501B"/>
    <w:rsid w:val="00837385"/>
    <w:rsid w:val="00837CE4"/>
    <w:rsid w:val="008404B6"/>
    <w:rsid w:val="0084064E"/>
    <w:rsid w:val="008407F2"/>
    <w:rsid w:val="00841007"/>
    <w:rsid w:val="008422B8"/>
    <w:rsid w:val="00845B10"/>
    <w:rsid w:val="00845CE8"/>
    <w:rsid w:val="00845DDB"/>
    <w:rsid w:val="00847F5F"/>
    <w:rsid w:val="00850100"/>
    <w:rsid w:val="00851B78"/>
    <w:rsid w:val="00852BAE"/>
    <w:rsid w:val="008536A2"/>
    <w:rsid w:val="00853A2C"/>
    <w:rsid w:val="00853CF2"/>
    <w:rsid w:val="00855D60"/>
    <w:rsid w:val="00856C83"/>
    <w:rsid w:val="00856ED0"/>
    <w:rsid w:val="00857842"/>
    <w:rsid w:val="00857B90"/>
    <w:rsid w:val="00864408"/>
    <w:rsid w:val="00866EA9"/>
    <w:rsid w:val="00867479"/>
    <w:rsid w:val="00870291"/>
    <w:rsid w:val="00871D91"/>
    <w:rsid w:val="00871E81"/>
    <w:rsid w:val="00875F9B"/>
    <w:rsid w:val="00876E6D"/>
    <w:rsid w:val="0087726F"/>
    <w:rsid w:val="008810F0"/>
    <w:rsid w:val="00881904"/>
    <w:rsid w:val="008821F3"/>
    <w:rsid w:val="0088350B"/>
    <w:rsid w:val="00883E10"/>
    <w:rsid w:val="00887D36"/>
    <w:rsid w:val="00890021"/>
    <w:rsid w:val="00890F45"/>
    <w:rsid w:val="008923CC"/>
    <w:rsid w:val="00892A60"/>
    <w:rsid w:val="00897399"/>
    <w:rsid w:val="008A12D5"/>
    <w:rsid w:val="008A1A89"/>
    <w:rsid w:val="008A2E56"/>
    <w:rsid w:val="008A30B9"/>
    <w:rsid w:val="008A3467"/>
    <w:rsid w:val="008A3484"/>
    <w:rsid w:val="008A36F5"/>
    <w:rsid w:val="008A3F5A"/>
    <w:rsid w:val="008A443F"/>
    <w:rsid w:val="008A4F6B"/>
    <w:rsid w:val="008A5A7A"/>
    <w:rsid w:val="008B09FE"/>
    <w:rsid w:val="008B2F75"/>
    <w:rsid w:val="008B3BAA"/>
    <w:rsid w:val="008B3C1C"/>
    <w:rsid w:val="008B51EC"/>
    <w:rsid w:val="008B66B5"/>
    <w:rsid w:val="008B7462"/>
    <w:rsid w:val="008B7503"/>
    <w:rsid w:val="008B773D"/>
    <w:rsid w:val="008C013D"/>
    <w:rsid w:val="008C0CA9"/>
    <w:rsid w:val="008C1384"/>
    <w:rsid w:val="008C175E"/>
    <w:rsid w:val="008C2BA1"/>
    <w:rsid w:val="008C6A7E"/>
    <w:rsid w:val="008C6F95"/>
    <w:rsid w:val="008C70C5"/>
    <w:rsid w:val="008D08A1"/>
    <w:rsid w:val="008D0EB1"/>
    <w:rsid w:val="008D1466"/>
    <w:rsid w:val="008D3E60"/>
    <w:rsid w:val="008D4DE4"/>
    <w:rsid w:val="008D549C"/>
    <w:rsid w:val="008D73B3"/>
    <w:rsid w:val="008D7479"/>
    <w:rsid w:val="008E1E6C"/>
    <w:rsid w:val="008E5B94"/>
    <w:rsid w:val="008E5C30"/>
    <w:rsid w:val="008F0413"/>
    <w:rsid w:val="008F0437"/>
    <w:rsid w:val="008F0FAF"/>
    <w:rsid w:val="008F11FC"/>
    <w:rsid w:val="008F1A90"/>
    <w:rsid w:val="008F1D31"/>
    <w:rsid w:val="008F2088"/>
    <w:rsid w:val="008F40F6"/>
    <w:rsid w:val="008F4482"/>
    <w:rsid w:val="008F452C"/>
    <w:rsid w:val="008F45C3"/>
    <w:rsid w:val="008F49EE"/>
    <w:rsid w:val="008F4C7C"/>
    <w:rsid w:val="008F4DED"/>
    <w:rsid w:val="008F4FE0"/>
    <w:rsid w:val="008F5566"/>
    <w:rsid w:val="008F7C7F"/>
    <w:rsid w:val="00900997"/>
    <w:rsid w:val="009015D6"/>
    <w:rsid w:val="0090341E"/>
    <w:rsid w:val="00904589"/>
    <w:rsid w:val="00905F4A"/>
    <w:rsid w:val="00910B1F"/>
    <w:rsid w:val="00911000"/>
    <w:rsid w:val="00912A2D"/>
    <w:rsid w:val="00916639"/>
    <w:rsid w:val="0091678C"/>
    <w:rsid w:val="00916EC7"/>
    <w:rsid w:val="00917FDE"/>
    <w:rsid w:val="00920AA9"/>
    <w:rsid w:val="00922252"/>
    <w:rsid w:val="00922492"/>
    <w:rsid w:val="00925806"/>
    <w:rsid w:val="009259F5"/>
    <w:rsid w:val="00927649"/>
    <w:rsid w:val="0092786F"/>
    <w:rsid w:val="00927CC3"/>
    <w:rsid w:val="009309A1"/>
    <w:rsid w:val="00930D41"/>
    <w:rsid w:val="00930F68"/>
    <w:rsid w:val="00931904"/>
    <w:rsid w:val="009324E3"/>
    <w:rsid w:val="00933802"/>
    <w:rsid w:val="00934B5C"/>
    <w:rsid w:val="00935F61"/>
    <w:rsid w:val="00936463"/>
    <w:rsid w:val="00937983"/>
    <w:rsid w:val="00940CD5"/>
    <w:rsid w:val="00942640"/>
    <w:rsid w:val="00943835"/>
    <w:rsid w:val="0094412A"/>
    <w:rsid w:val="0094532E"/>
    <w:rsid w:val="009454AD"/>
    <w:rsid w:val="00946E8F"/>
    <w:rsid w:val="00950F50"/>
    <w:rsid w:val="0095206C"/>
    <w:rsid w:val="0095219B"/>
    <w:rsid w:val="00952C0C"/>
    <w:rsid w:val="00953683"/>
    <w:rsid w:val="0095420C"/>
    <w:rsid w:val="009548FF"/>
    <w:rsid w:val="0095616A"/>
    <w:rsid w:val="0095709F"/>
    <w:rsid w:val="00961618"/>
    <w:rsid w:val="00961CD7"/>
    <w:rsid w:val="009633DA"/>
    <w:rsid w:val="00965189"/>
    <w:rsid w:val="00966281"/>
    <w:rsid w:val="0096661D"/>
    <w:rsid w:val="009673DA"/>
    <w:rsid w:val="0096750A"/>
    <w:rsid w:val="00967C41"/>
    <w:rsid w:val="009704C3"/>
    <w:rsid w:val="00971EA4"/>
    <w:rsid w:val="00972514"/>
    <w:rsid w:val="00973E4F"/>
    <w:rsid w:val="00973FD8"/>
    <w:rsid w:val="009746D7"/>
    <w:rsid w:val="00975808"/>
    <w:rsid w:val="009763C8"/>
    <w:rsid w:val="009763FF"/>
    <w:rsid w:val="009764BA"/>
    <w:rsid w:val="009767A1"/>
    <w:rsid w:val="00976F76"/>
    <w:rsid w:val="009772F8"/>
    <w:rsid w:val="00977D52"/>
    <w:rsid w:val="009802B5"/>
    <w:rsid w:val="00980FF5"/>
    <w:rsid w:val="00981ECE"/>
    <w:rsid w:val="00984F5B"/>
    <w:rsid w:val="009868A8"/>
    <w:rsid w:val="00986AD2"/>
    <w:rsid w:val="009871C2"/>
    <w:rsid w:val="0098786F"/>
    <w:rsid w:val="009901C3"/>
    <w:rsid w:val="009913F2"/>
    <w:rsid w:val="00992C0C"/>
    <w:rsid w:val="00993B69"/>
    <w:rsid w:val="0099523D"/>
    <w:rsid w:val="00996D2D"/>
    <w:rsid w:val="00996EBC"/>
    <w:rsid w:val="009A2265"/>
    <w:rsid w:val="009A31B5"/>
    <w:rsid w:val="009A5456"/>
    <w:rsid w:val="009A5D3D"/>
    <w:rsid w:val="009A75CF"/>
    <w:rsid w:val="009B052F"/>
    <w:rsid w:val="009B09AB"/>
    <w:rsid w:val="009B1B87"/>
    <w:rsid w:val="009B1CE4"/>
    <w:rsid w:val="009B3048"/>
    <w:rsid w:val="009B409E"/>
    <w:rsid w:val="009C0CD7"/>
    <w:rsid w:val="009C191C"/>
    <w:rsid w:val="009C22DA"/>
    <w:rsid w:val="009C3F7B"/>
    <w:rsid w:val="009C4DB6"/>
    <w:rsid w:val="009C4FA5"/>
    <w:rsid w:val="009C5EA7"/>
    <w:rsid w:val="009C68F0"/>
    <w:rsid w:val="009C7152"/>
    <w:rsid w:val="009C729A"/>
    <w:rsid w:val="009C7A6F"/>
    <w:rsid w:val="009D06FC"/>
    <w:rsid w:val="009D0F07"/>
    <w:rsid w:val="009D15B6"/>
    <w:rsid w:val="009D2BCB"/>
    <w:rsid w:val="009D41D2"/>
    <w:rsid w:val="009D50E1"/>
    <w:rsid w:val="009D5F65"/>
    <w:rsid w:val="009D6B31"/>
    <w:rsid w:val="009D6EC5"/>
    <w:rsid w:val="009D7DB2"/>
    <w:rsid w:val="009E0837"/>
    <w:rsid w:val="009E0C18"/>
    <w:rsid w:val="009E2413"/>
    <w:rsid w:val="009E4A37"/>
    <w:rsid w:val="009E5866"/>
    <w:rsid w:val="009E7A04"/>
    <w:rsid w:val="009F03EE"/>
    <w:rsid w:val="009F3242"/>
    <w:rsid w:val="009F398D"/>
    <w:rsid w:val="009F798C"/>
    <w:rsid w:val="00A00557"/>
    <w:rsid w:val="00A00953"/>
    <w:rsid w:val="00A011FC"/>
    <w:rsid w:val="00A01753"/>
    <w:rsid w:val="00A03042"/>
    <w:rsid w:val="00A03492"/>
    <w:rsid w:val="00A04028"/>
    <w:rsid w:val="00A06B98"/>
    <w:rsid w:val="00A07963"/>
    <w:rsid w:val="00A07DCE"/>
    <w:rsid w:val="00A10C92"/>
    <w:rsid w:val="00A110DF"/>
    <w:rsid w:val="00A13084"/>
    <w:rsid w:val="00A13A09"/>
    <w:rsid w:val="00A15865"/>
    <w:rsid w:val="00A15B58"/>
    <w:rsid w:val="00A15F18"/>
    <w:rsid w:val="00A179C1"/>
    <w:rsid w:val="00A20916"/>
    <w:rsid w:val="00A20CB0"/>
    <w:rsid w:val="00A20DD7"/>
    <w:rsid w:val="00A23367"/>
    <w:rsid w:val="00A242FA"/>
    <w:rsid w:val="00A24F77"/>
    <w:rsid w:val="00A2536F"/>
    <w:rsid w:val="00A254FD"/>
    <w:rsid w:val="00A25F2B"/>
    <w:rsid w:val="00A3006C"/>
    <w:rsid w:val="00A300CD"/>
    <w:rsid w:val="00A3116D"/>
    <w:rsid w:val="00A347FE"/>
    <w:rsid w:val="00A354ED"/>
    <w:rsid w:val="00A370F2"/>
    <w:rsid w:val="00A37B1B"/>
    <w:rsid w:val="00A40A1D"/>
    <w:rsid w:val="00A416B1"/>
    <w:rsid w:val="00A420F8"/>
    <w:rsid w:val="00A42C58"/>
    <w:rsid w:val="00A42F27"/>
    <w:rsid w:val="00A439D5"/>
    <w:rsid w:val="00A43CFE"/>
    <w:rsid w:val="00A43F8E"/>
    <w:rsid w:val="00A449E7"/>
    <w:rsid w:val="00A44BF6"/>
    <w:rsid w:val="00A45759"/>
    <w:rsid w:val="00A46243"/>
    <w:rsid w:val="00A46BD7"/>
    <w:rsid w:val="00A476F7"/>
    <w:rsid w:val="00A47B70"/>
    <w:rsid w:val="00A5005B"/>
    <w:rsid w:val="00A50281"/>
    <w:rsid w:val="00A50ACD"/>
    <w:rsid w:val="00A5161C"/>
    <w:rsid w:val="00A5225D"/>
    <w:rsid w:val="00A5255D"/>
    <w:rsid w:val="00A53F67"/>
    <w:rsid w:val="00A5427F"/>
    <w:rsid w:val="00A55607"/>
    <w:rsid w:val="00A60381"/>
    <w:rsid w:val="00A62D84"/>
    <w:rsid w:val="00A62EF9"/>
    <w:rsid w:val="00A63BEA"/>
    <w:rsid w:val="00A63C5E"/>
    <w:rsid w:val="00A63CD4"/>
    <w:rsid w:val="00A6517A"/>
    <w:rsid w:val="00A6557C"/>
    <w:rsid w:val="00A6573F"/>
    <w:rsid w:val="00A6577E"/>
    <w:rsid w:val="00A65E99"/>
    <w:rsid w:val="00A671DB"/>
    <w:rsid w:val="00A672B7"/>
    <w:rsid w:val="00A67EAA"/>
    <w:rsid w:val="00A70992"/>
    <w:rsid w:val="00A70F55"/>
    <w:rsid w:val="00A712EE"/>
    <w:rsid w:val="00A71F13"/>
    <w:rsid w:val="00A73068"/>
    <w:rsid w:val="00A73E46"/>
    <w:rsid w:val="00A74984"/>
    <w:rsid w:val="00A74D97"/>
    <w:rsid w:val="00A763A6"/>
    <w:rsid w:val="00A76A93"/>
    <w:rsid w:val="00A818AD"/>
    <w:rsid w:val="00A81F24"/>
    <w:rsid w:val="00A830C8"/>
    <w:rsid w:val="00A83301"/>
    <w:rsid w:val="00A83680"/>
    <w:rsid w:val="00A83E6D"/>
    <w:rsid w:val="00A85632"/>
    <w:rsid w:val="00A90184"/>
    <w:rsid w:val="00A9042E"/>
    <w:rsid w:val="00A9085E"/>
    <w:rsid w:val="00A908AA"/>
    <w:rsid w:val="00A9139D"/>
    <w:rsid w:val="00A92727"/>
    <w:rsid w:val="00A92DEE"/>
    <w:rsid w:val="00A93CA9"/>
    <w:rsid w:val="00A968A9"/>
    <w:rsid w:val="00AA0800"/>
    <w:rsid w:val="00AA0EEA"/>
    <w:rsid w:val="00AA1B07"/>
    <w:rsid w:val="00AA3C41"/>
    <w:rsid w:val="00AA46B1"/>
    <w:rsid w:val="00AA4D2A"/>
    <w:rsid w:val="00AA4E40"/>
    <w:rsid w:val="00AA5706"/>
    <w:rsid w:val="00AA69C8"/>
    <w:rsid w:val="00AA6ECC"/>
    <w:rsid w:val="00AA7BDA"/>
    <w:rsid w:val="00AB0D16"/>
    <w:rsid w:val="00AB151D"/>
    <w:rsid w:val="00AB6C52"/>
    <w:rsid w:val="00AB78E0"/>
    <w:rsid w:val="00AB7EA0"/>
    <w:rsid w:val="00AC246B"/>
    <w:rsid w:val="00AC28B1"/>
    <w:rsid w:val="00AC29A3"/>
    <w:rsid w:val="00AC3880"/>
    <w:rsid w:val="00AC3B73"/>
    <w:rsid w:val="00AC3CB7"/>
    <w:rsid w:val="00AC4FA2"/>
    <w:rsid w:val="00AC798D"/>
    <w:rsid w:val="00AD0958"/>
    <w:rsid w:val="00AD2A0F"/>
    <w:rsid w:val="00AD4E97"/>
    <w:rsid w:val="00AD5D5A"/>
    <w:rsid w:val="00AD5FAE"/>
    <w:rsid w:val="00AD675C"/>
    <w:rsid w:val="00AD6832"/>
    <w:rsid w:val="00AD7B5A"/>
    <w:rsid w:val="00AD7E89"/>
    <w:rsid w:val="00AD7F52"/>
    <w:rsid w:val="00AE0B67"/>
    <w:rsid w:val="00AE0EBA"/>
    <w:rsid w:val="00AE0FB7"/>
    <w:rsid w:val="00AE30E1"/>
    <w:rsid w:val="00AE4329"/>
    <w:rsid w:val="00AE4C26"/>
    <w:rsid w:val="00AE4D8F"/>
    <w:rsid w:val="00AE5FD4"/>
    <w:rsid w:val="00AE5FF5"/>
    <w:rsid w:val="00AE64A1"/>
    <w:rsid w:val="00AF05C6"/>
    <w:rsid w:val="00AF3C40"/>
    <w:rsid w:val="00AF4D62"/>
    <w:rsid w:val="00AF5939"/>
    <w:rsid w:val="00AF6363"/>
    <w:rsid w:val="00AF698E"/>
    <w:rsid w:val="00B00BFA"/>
    <w:rsid w:val="00B03113"/>
    <w:rsid w:val="00B03FEC"/>
    <w:rsid w:val="00B04AA9"/>
    <w:rsid w:val="00B053CD"/>
    <w:rsid w:val="00B06B61"/>
    <w:rsid w:val="00B10457"/>
    <w:rsid w:val="00B105C4"/>
    <w:rsid w:val="00B11B1F"/>
    <w:rsid w:val="00B143CE"/>
    <w:rsid w:val="00B14DF0"/>
    <w:rsid w:val="00B16C02"/>
    <w:rsid w:val="00B17E5E"/>
    <w:rsid w:val="00B20563"/>
    <w:rsid w:val="00B207DD"/>
    <w:rsid w:val="00B20899"/>
    <w:rsid w:val="00B21ECB"/>
    <w:rsid w:val="00B23E4B"/>
    <w:rsid w:val="00B24585"/>
    <w:rsid w:val="00B24964"/>
    <w:rsid w:val="00B2627C"/>
    <w:rsid w:val="00B267C3"/>
    <w:rsid w:val="00B26A8D"/>
    <w:rsid w:val="00B27191"/>
    <w:rsid w:val="00B3078C"/>
    <w:rsid w:val="00B30791"/>
    <w:rsid w:val="00B31A19"/>
    <w:rsid w:val="00B33331"/>
    <w:rsid w:val="00B34A43"/>
    <w:rsid w:val="00B36761"/>
    <w:rsid w:val="00B36916"/>
    <w:rsid w:val="00B37473"/>
    <w:rsid w:val="00B3790D"/>
    <w:rsid w:val="00B4103D"/>
    <w:rsid w:val="00B41FE5"/>
    <w:rsid w:val="00B42513"/>
    <w:rsid w:val="00B4543E"/>
    <w:rsid w:val="00B45FCA"/>
    <w:rsid w:val="00B47E68"/>
    <w:rsid w:val="00B50DA2"/>
    <w:rsid w:val="00B50F75"/>
    <w:rsid w:val="00B51C53"/>
    <w:rsid w:val="00B5267B"/>
    <w:rsid w:val="00B5347B"/>
    <w:rsid w:val="00B53A20"/>
    <w:rsid w:val="00B5441D"/>
    <w:rsid w:val="00B56DD8"/>
    <w:rsid w:val="00B57691"/>
    <w:rsid w:val="00B6022C"/>
    <w:rsid w:val="00B60D86"/>
    <w:rsid w:val="00B61D2F"/>
    <w:rsid w:val="00B6221D"/>
    <w:rsid w:val="00B62FEA"/>
    <w:rsid w:val="00B63230"/>
    <w:rsid w:val="00B63D0A"/>
    <w:rsid w:val="00B64DDF"/>
    <w:rsid w:val="00B65455"/>
    <w:rsid w:val="00B65874"/>
    <w:rsid w:val="00B66A8A"/>
    <w:rsid w:val="00B71744"/>
    <w:rsid w:val="00B71B9D"/>
    <w:rsid w:val="00B720EA"/>
    <w:rsid w:val="00B72726"/>
    <w:rsid w:val="00B72C35"/>
    <w:rsid w:val="00B73824"/>
    <w:rsid w:val="00B73EB3"/>
    <w:rsid w:val="00B74357"/>
    <w:rsid w:val="00B74447"/>
    <w:rsid w:val="00B75B34"/>
    <w:rsid w:val="00B805CB"/>
    <w:rsid w:val="00B805D6"/>
    <w:rsid w:val="00B81A37"/>
    <w:rsid w:val="00B84002"/>
    <w:rsid w:val="00B84FB0"/>
    <w:rsid w:val="00B85689"/>
    <w:rsid w:val="00B865F1"/>
    <w:rsid w:val="00B9008F"/>
    <w:rsid w:val="00B92350"/>
    <w:rsid w:val="00B92950"/>
    <w:rsid w:val="00B94E26"/>
    <w:rsid w:val="00B95058"/>
    <w:rsid w:val="00BA0146"/>
    <w:rsid w:val="00BA2EAA"/>
    <w:rsid w:val="00BA385B"/>
    <w:rsid w:val="00BA3AC2"/>
    <w:rsid w:val="00BA4DC6"/>
    <w:rsid w:val="00BA7727"/>
    <w:rsid w:val="00BB135D"/>
    <w:rsid w:val="00BB17D8"/>
    <w:rsid w:val="00BB188E"/>
    <w:rsid w:val="00BC05E3"/>
    <w:rsid w:val="00BC1553"/>
    <w:rsid w:val="00BC1B96"/>
    <w:rsid w:val="00BC6918"/>
    <w:rsid w:val="00BD035B"/>
    <w:rsid w:val="00BD059D"/>
    <w:rsid w:val="00BD0E84"/>
    <w:rsid w:val="00BD1513"/>
    <w:rsid w:val="00BD1750"/>
    <w:rsid w:val="00BD31B5"/>
    <w:rsid w:val="00BD3941"/>
    <w:rsid w:val="00BD4479"/>
    <w:rsid w:val="00BD4B4E"/>
    <w:rsid w:val="00BD4C89"/>
    <w:rsid w:val="00BD55BF"/>
    <w:rsid w:val="00BD5C80"/>
    <w:rsid w:val="00BD75E2"/>
    <w:rsid w:val="00BD7F33"/>
    <w:rsid w:val="00BE0505"/>
    <w:rsid w:val="00BE1FF4"/>
    <w:rsid w:val="00BE5033"/>
    <w:rsid w:val="00BE585D"/>
    <w:rsid w:val="00BE6EB0"/>
    <w:rsid w:val="00BE7384"/>
    <w:rsid w:val="00BE77B1"/>
    <w:rsid w:val="00BE77E6"/>
    <w:rsid w:val="00BF00A8"/>
    <w:rsid w:val="00BF1076"/>
    <w:rsid w:val="00BF2670"/>
    <w:rsid w:val="00BF489B"/>
    <w:rsid w:val="00BF53EF"/>
    <w:rsid w:val="00BF5512"/>
    <w:rsid w:val="00BF7E27"/>
    <w:rsid w:val="00BF7E68"/>
    <w:rsid w:val="00C00CE6"/>
    <w:rsid w:val="00C016CB"/>
    <w:rsid w:val="00C02480"/>
    <w:rsid w:val="00C033A7"/>
    <w:rsid w:val="00C050CA"/>
    <w:rsid w:val="00C06498"/>
    <w:rsid w:val="00C064E5"/>
    <w:rsid w:val="00C07F44"/>
    <w:rsid w:val="00C11E2B"/>
    <w:rsid w:val="00C11EE6"/>
    <w:rsid w:val="00C133BF"/>
    <w:rsid w:val="00C13965"/>
    <w:rsid w:val="00C13CBA"/>
    <w:rsid w:val="00C13F87"/>
    <w:rsid w:val="00C15751"/>
    <w:rsid w:val="00C157FA"/>
    <w:rsid w:val="00C15F1B"/>
    <w:rsid w:val="00C16BDF"/>
    <w:rsid w:val="00C16DDE"/>
    <w:rsid w:val="00C17D0A"/>
    <w:rsid w:val="00C20129"/>
    <w:rsid w:val="00C232D2"/>
    <w:rsid w:val="00C23AA6"/>
    <w:rsid w:val="00C24174"/>
    <w:rsid w:val="00C241FD"/>
    <w:rsid w:val="00C24266"/>
    <w:rsid w:val="00C24783"/>
    <w:rsid w:val="00C24AB7"/>
    <w:rsid w:val="00C25016"/>
    <w:rsid w:val="00C25762"/>
    <w:rsid w:val="00C2588A"/>
    <w:rsid w:val="00C262DB"/>
    <w:rsid w:val="00C27CE0"/>
    <w:rsid w:val="00C35DA8"/>
    <w:rsid w:val="00C3723A"/>
    <w:rsid w:val="00C3770C"/>
    <w:rsid w:val="00C422B4"/>
    <w:rsid w:val="00C42608"/>
    <w:rsid w:val="00C42912"/>
    <w:rsid w:val="00C42B4E"/>
    <w:rsid w:val="00C4405F"/>
    <w:rsid w:val="00C445E0"/>
    <w:rsid w:val="00C44F05"/>
    <w:rsid w:val="00C44F9B"/>
    <w:rsid w:val="00C45224"/>
    <w:rsid w:val="00C4593E"/>
    <w:rsid w:val="00C4594D"/>
    <w:rsid w:val="00C459A1"/>
    <w:rsid w:val="00C47C72"/>
    <w:rsid w:val="00C5108F"/>
    <w:rsid w:val="00C5249C"/>
    <w:rsid w:val="00C53618"/>
    <w:rsid w:val="00C53706"/>
    <w:rsid w:val="00C54043"/>
    <w:rsid w:val="00C547E4"/>
    <w:rsid w:val="00C570D3"/>
    <w:rsid w:val="00C570EF"/>
    <w:rsid w:val="00C5740C"/>
    <w:rsid w:val="00C635DE"/>
    <w:rsid w:val="00C635EC"/>
    <w:rsid w:val="00C63FDA"/>
    <w:rsid w:val="00C64B8D"/>
    <w:rsid w:val="00C652C7"/>
    <w:rsid w:val="00C65B6E"/>
    <w:rsid w:val="00C67F8D"/>
    <w:rsid w:val="00C713C8"/>
    <w:rsid w:val="00C71A5D"/>
    <w:rsid w:val="00C71DB0"/>
    <w:rsid w:val="00C72F2C"/>
    <w:rsid w:val="00C74415"/>
    <w:rsid w:val="00C74D23"/>
    <w:rsid w:val="00C76406"/>
    <w:rsid w:val="00C77FD3"/>
    <w:rsid w:val="00C800B1"/>
    <w:rsid w:val="00C80AF2"/>
    <w:rsid w:val="00C813A2"/>
    <w:rsid w:val="00C81C1C"/>
    <w:rsid w:val="00C81FC8"/>
    <w:rsid w:val="00C82B8E"/>
    <w:rsid w:val="00C82B99"/>
    <w:rsid w:val="00C82BEC"/>
    <w:rsid w:val="00C84219"/>
    <w:rsid w:val="00C847FA"/>
    <w:rsid w:val="00C8664F"/>
    <w:rsid w:val="00C86D78"/>
    <w:rsid w:val="00C86F9A"/>
    <w:rsid w:val="00C87245"/>
    <w:rsid w:val="00C91ABA"/>
    <w:rsid w:val="00C939BD"/>
    <w:rsid w:val="00C94BA0"/>
    <w:rsid w:val="00C962A8"/>
    <w:rsid w:val="00CA100D"/>
    <w:rsid w:val="00CA1755"/>
    <w:rsid w:val="00CA199F"/>
    <w:rsid w:val="00CA19A2"/>
    <w:rsid w:val="00CA1CD8"/>
    <w:rsid w:val="00CA1CF1"/>
    <w:rsid w:val="00CA1E3E"/>
    <w:rsid w:val="00CA4B05"/>
    <w:rsid w:val="00CA4B7C"/>
    <w:rsid w:val="00CA4E8C"/>
    <w:rsid w:val="00CA5978"/>
    <w:rsid w:val="00CA6453"/>
    <w:rsid w:val="00CA6A4F"/>
    <w:rsid w:val="00CA7146"/>
    <w:rsid w:val="00CA7267"/>
    <w:rsid w:val="00CB01BE"/>
    <w:rsid w:val="00CB2B0B"/>
    <w:rsid w:val="00CB3F07"/>
    <w:rsid w:val="00CB481F"/>
    <w:rsid w:val="00CC2790"/>
    <w:rsid w:val="00CC29DE"/>
    <w:rsid w:val="00CC314D"/>
    <w:rsid w:val="00CC33E6"/>
    <w:rsid w:val="00CC376E"/>
    <w:rsid w:val="00CC4035"/>
    <w:rsid w:val="00CC56C7"/>
    <w:rsid w:val="00CC5BE0"/>
    <w:rsid w:val="00CC751B"/>
    <w:rsid w:val="00CC7BC3"/>
    <w:rsid w:val="00CD01E3"/>
    <w:rsid w:val="00CD056E"/>
    <w:rsid w:val="00CD0A20"/>
    <w:rsid w:val="00CD2CF9"/>
    <w:rsid w:val="00CD3DB0"/>
    <w:rsid w:val="00CD4FBE"/>
    <w:rsid w:val="00CD5E1C"/>
    <w:rsid w:val="00CE0612"/>
    <w:rsid w:val="00CE11A0"/>
    <w:rsid w:val="00CE22CF"/>
    <w:rsid w:val="00CE2751"/>
    <w:rsid w:val="00CE2C90"/>
    <w:rsid w:val="00CE4EFB"/>
    <w:rsid w:val="00CE5313"/>
    <w:rsid w:val="00CE7FE5"/>
    <w:rsid w:val="00CF0882"/>
    <w:rsid w:val="00CF183B"/>
    <w:rsid w:val="00CF1A3B"/>
    <w:rsid w:val="00CF3F65"/>
    <w:rsid w:val="00CF3F6D"/>
    <w:rsid w:val="00CF5F9E"/>
    <w:rsid w:val="00CF69F4"/>
    <w:rsid w:val="00CF6EB9"/>
    <w:rsid w:val="00CF7D54"/>
    <w:rsid w:val="00D00F6B"/>
    <w:rsid w:val="00D01A25"/>
    <w:rsid w:val="00D03320"/>
    <w:rsid w:val="00D04D98"/>
    <w:rsid w:val="00D06A14"/>
    <w:rsid w:val="00D10333"/>
    <w:rsid w:val="00D1065D"/>
    <w:rsid w:val="00D11143"/>
    <w:rsid w:val="00D11D03"/>
    <w:rsid w:val="00D1441B"/>
    <w:rsid w:val="00D147E3"/>
    <w:rsid w:val="00D1576B"/>
    <w:rsid w:val="00D209BE"/>
    <w:rsid w:val="00D20C84"/>
    <w:rsid w:val="00D20DD3"/>
    <w:rsid w:val="00D22C02"/>
    <w:rsid w:val="00D2353A"/>
    <w:rsid w:val="00D235B9"/>
    <w:rsid w:val="00D24AEC"/>
    <w:rsid w:val="00D25FEC"/>
    <w:rsid w:val="00D3010C"/>
    <w:rsid w:val="00D30945"/>
    <w:rsid w:val="00D30D8C"/>
    <w:rsid w:val="00D319C7"/>
    <w:rsid w:val="00D331AF"/>
    <w:rsid w:val="00D33F68"/>
    <w:rsid w:val="00D34229"/>
    <w:rsid w:val="00D35206"/>
    <w:rsid w:val="00D352A8"/>
    <w:rsid w:val="00D36CA4"/>
    <w:rsid w:val="00D36D22"/>
    <w:rsid w:val="00D4069F"/>
    <w:rsid w:val="00D41D59"/>
    <w:rsid w:val="00D426A7"/>
    <w:rsid w:val="00D430E8"/>
    <w:rsid w:val="00D438AB"/>
    <w:rsid w:val="00D456C7"/>
    <w:rsid w:val="00D50160"/>
    <w:rsid w:val="00D51D65"/>
    <w:rsid w:val="00D52469"/>
    <w:rsid w:val="00D5372F"/>
    <w:rsid w:val="00D548FF"/>
    <w:rsid w:val="00D54CCE"/>
    <w:rsid w:val="00D54CF6"/>
    <w:rsid w:val="00D56587"/>
    <w:rsid w:val="00D57FF9"/>
    <w:rsid w:val="00D6330E"/>
    <w:rsid w:val="00D6532E"/>
    <w:rsid w:val="00D65AA3"/>
    <w:rsid w:val="00D67AA9"/>
    <w:rsid w:val="00D67ABB"/>
    <w:rsid w:val="00D7008D"/>
    <w:rsid w:val="00D703C0"/>
    <w:rsid w:val="00D7067E"/>
    <w:rsid w:val="00D70997"/>
    <w:rsid w:val="00D71C09"/>
    <w:rsid w:val="00D720B1"/>
    <w:rsid w:val="00D74A95"/>
    <w:rsid w:val="00D75FBB"/>
    <w:rsid w:val="00D7632B"/>
    <w:rsid w:val="00D76AFA"/>
    <w:rsid w:val="00D76B85"/>
    <w:rsid w:val="00D77072"/>
    <w:rsid w:val="00D77D35"/>
    <w:rsid w:val="00D81A35"/>
    <w:rsid w:val="00D81F3C"/>
    <w:rsid w:val="00D84CAC"/>
    <w:rsid w:val="00D8640C"/>
    <w:rsid w:val="00D9077D"/>
    <w:rsid w:val="00D93B12"/>
    <w:rsid w:val="00D945B0"/>
    <w:rsid w:val="00D960A4"/>
    <w:rsid w:val="00D97A6F"/>
    <w:rsid w:val="00DA0F2A"/>
    <w:rsid w:val="00DA264D"/>
    <w:rsid w:val="00DA60F0"/>
    <w:rsid w:val="00DA6B2A"/>
    <w:rsid w:val="00DA6DFC"/>
    <w:rsid w:val="00DA7745"/>
    <w:rsid w:val="00DA7F6D"/>
    <w:rsid w:val="00DB0F78"/>
    <w:rsid w:val="00DB427D"/>
    <w:rsid w:val="00DB6839"/>
    <w:rsid w:val="00DB6DAF"/>
    <w:rsid w:val="00DC06A4"/>
    <w:rsid w:val="00DC328B"/>
    <w:rsid w:val="00DC4258"/>
    <w:rsid w:val="00DC4D6D"/>
    <w:rsid w:val="00DC5C3C"/>
    <w:rsid w:val="00DC5DA6"/>
    <w:rsid w:val="00DC690E"/>
    <w:rsid w:val="00DD06E9"/>
    <w:rsid w:val="00DD2D5A"/>
    <w:rsid w:val="00DD4515"/>
    <w:rsid w:val="00DD4ED8"/>
    <w:rsid w:val="00DD6A49"/>
    <w:rsid w:val="00DD75AA"/>
    <w:rsid w:val="00DE06AB"/>
    <w:rsid w:val="00DE09EF"/>
    <w:rsid w:val="00DE56D8"/>
    <w:rsid w:val="00DE5D02"/>
    <w:rsid w:val="00DE62CC"/>
    <w:rsid w:val="00DE64F7"/>
    <w:rsid w:val="00DE7498"/>
    <w:rsid w:val="00DF1FF5"/>
    <w:rsid w:val="00DF31C1"/>
    <w:rsid w:val="00DF36CB"/>
    <w:rsid w:val="00DF3FAF"/>
    <w:rsid w:val="00E004DE"/>
    <w:rsid w:val="00E00895"/>
    <w:rsid w:val="00E01DED"/>
    <w:rsid w:val="00E021EE"/>
    <w:rsid w:val="00E022ED"/>
    <w:rsid w:val="00E023D5"/>
    <w:rsid w:val="00E042E1"/>
    <w:rsid w:val="00E06910"/>
    <w:rsid w:val="00E10532"/>
    <w:rsid w:val="00E10A6A"/>
    <w:rsid w:val="00E10AA0"/>
    <w:rsid w:val="00E111FA"/>
    <w:rsid w:val="00E14314"/>
    <w:rsid w:val="00E16192"/>
    <w:rsid w:val="00E16BBC"/>
    <w:rsid w:val="00E17C8B"/>
    <w:rsid w:val="00E20DF6"/>
    <w:rsid w:val="00E230C6"/>
    <w:rsid w:val="00E24046"/>
    <w:rsid w:val="00E24493"/>
    <w:rsid w:val="00E268B7"/>
    <w:rsid w:val="00E27154"/>
    <w:rsid w:val="00E306B6"/>
    <w:rsid w:val="00E30E5E"/>
    <w:rsid w:val="00E36FD0"/>
    <w:rsid w:val="00E37499"/>
    <w:rsid w:val="00E377C8"/>
    <w:rsid w:val="00E37EB8"/>
    <w:rsid w:val="00E37F83"/>
    <w:rsid w:val="00E40775"/>
    <w:rsid w:val="00E43079"/>
    <w:rsid w:val="00E430D3"/>
    <w:rsid w:val="00E44A41"/>
    <w:rsid w:val="00E4587A"/>
    <w:rsid w:val="00E46146"/>
    <w:rsid w:val="00E461F6"/>
    <w:rsid w:val="00E5132A"/>
    <w:rsid w:val="00E5203E"/>
    <w:rsid w:val="00E571F3"/>
    <w:rsid w:val="00E57C9D"/>
    <w:rsid w:val="00E602B2"/>
    <w:rsid w:val="00E60FB4"/>
    <w:rsid w:val="00E649A8"/>
    <w:rsid w:val="00E64CE5"/>
    <w:rsid w:val="00E64F04"/>
    <w:rsid w:val="00E65386"/>
    <w:rsid w:val="00E663F6"/>
    <w:rsid w:val="00E66550"/>
    <w:rsid w:val="00E665B4"/>
    <w:rsid w:val="00E71F20"/>
    <w:rsid w:val="00E73846"/>
    <w:rsid w:val="00E73D75"/>
    <w:rsid w:val="00E74904"/>
    <w:rsid w:val="00E7592F"/>
    <w:rsid w:val="00E75BA3"/>
    <w:rsid w:val="00E76354"/>
    <w:rsid w:val="00E7673F"/>
    <w:rsid w:val="00E81238"/>
    <w:rsid w:val="00E818C1"/>
    <w:rsid w:val="00E848EE"/>
    <w:rsid w:val="00E9004D"/>
    <w:rsid w:val="00E900A8"/>
    <w:rsid w:val="00E90929"/>
    <w:rsid w:val="00E9207D"/>
    <w:rsid w:val="00E925C1"/>
    <w:rsid w:val="00E92B4E"/>
    <w:rsid w:val="00E933B1"/>
    <w:rsid w:val="00E934B0"/>
    <w:rsid w:val="00E93684"/>
    <w:rsid w:val="00E94C95"/>
    <w:rsid w:val="00E9613D"/>
    <w:rsid w:val="00EA0044"/>
    <w:rsid w:val="00EA1ED7"/>
    <w:rsid w:val="00EA2396"/>
    <w:rsid w:val="00EA2645"/>
    <w:rsid w:val="00EA2F00"/>
    <w:rsid w:val="00EA45EF"/>
    <w:rsid w:val="00EA50D2"/>
    <w:rsid w:val="00EA693E"/>
    <w:rsid w:val="00EA76C8"/>
    <w:rsid w:val="00EB01C5"/>
    <w:rsid w:val="00EB11D3"/>
    <w:rsid w:val="00EB1CA7"/>
    <w:rsid w:val="00EB2A9F"/>
    <w:rsid w:val="00EB2B2E"/>
    <w:rsid w:val="00EB301E"/>
    <w:rsid w:val="00EB3676"/>
    <w:rsid w:val="00EB7062"/>
    <w:rsid w:val="00EC146D"/>
    <w:rsid w:val="00EC1615"/>
    <w:rsid w:val="00EC16D2"/>
    <w:rsid w:val="00EC18EE"/>
    <w:rsid w:val="00EC53E6"/>
    <w:rsid w:val="00EC59B6"/>
    <w:rsid w:val="00EC6343"/>
    <w:rsid w:val="00EC6FD6"/>
    <w:rsid w:val="00EC7682"/>
    <w:rsid w:val="00ED1083"/>
    <w:rsid w:val="00ED1DED"/>
    <w:rsid w:val="00ED396E"/>
    <w:rsid w:val="00ED3C72"/>
    <w:rsid w:val="00ED41C1"/>
    <w:rsid w:val="00ED4FC2"/>
    <w:rsid w:val="00ED5689"/>
    <w:rsid w:val="00ED627F"/>
    <w:rsid w:val="00ED78D6"/>
    <w:rsid w:val="00EE0E7E"/>
    <w:rsid w:val="00EE4815"/>
    <w:rsid w:val="00EE5260"/>
    <w:rsid w:val="00EE718C"/>
    <w:rsid w:val="00EF04A2"/>
    <w:rsid w:val="00EF0526"/>
    <w:rsid w:val="00EF0A39"/>
    <w:rsid w:val="00EF12EF"/>
    <w:rsid w:val="00EF28F9"/>
    <w:rsid w:val="00EF5010"/>
    <w:rsid w:val="00EF54F6"/>
    <w:rsid w:val="00EF5D9F"/>
    <w:rsid w:val="00EF78C2"/>
    <w:rsid w:val="00F00653"/>
    <w:rsid w:val="00F00AAB"/>
    <w:rsid w:val="00F01527"/>
    <w:rsid w:val="00F0171C"/>
    <w:rsid w:val="00F02C21"/>
    <w:rsid w:val="00F032B9"/>
    <w:rsid w:val="00F04FA9"/>
    <w:rsid w:val="00F067FD"/>
    <w:rsid w:val="00F068C8"/>
    <w:rsid w:val="00F11A60"/>
    <w:rsid w:val="00F1202E"/>
    <w:rsid w:val="00F14475"/>
    <w:rsid w:val="00F1467C"/>
    <w:rsid w:val="00F14F1D"/>
    <w:rsid w:val="00F15DA4"/>
    <w:rsid w:val="00F17326"/>
    <w:rsid w:val="00F17515"/>
    <w:rsid w:val="00F202E1"/>
    <w:rsid w:val="00F218C0"/>
    <w:rsid w:val="00F22112"/>
    <w:rsid w:val="00F222FE"/>
    <w:rsid w:val="00F22319"/>
    <w:rsid w:val="00F2234E"/>
    <w:rsid w:val="00F237A6"/>
    <w:rsid w:val="00F24733"/>
    <w:rsid w:val="00F25C09"/>
    <w:rsid w:val="00F26B25"/>
    <w:rsid w:val="00F27B1F"/>
    <w:rsid w:val="00F3035C"/>
    <w:rsid w:val="00F32C8D"/>
    <w:rsid w:val="00F412A0"/>
    <w:rsid w:val="00F415DD"/>
    <w:rsid w:val="00F42707"/>
    <w:rsid w:val="00F430D6"/>
    <w:rsid w:val="00F4360B"/>
    <w:rsid w:val="00F43A1B"/>
    <w:rsid w:val="00F43D97"/>
    <w:rsid w:val="00F448B6"/>
    <w:rsid w:val="00F44DE5"/>
    <w:rsid w:val="00F4541A"/>
    <w:rsid w:val="00F45D2A"/>
    <w:rsid w:val="00F536C0"/>
    <w:rsid w:val="00F54E29"/>
    <w:rsid w:val="00F55163"/>
    <w:rsid w:val="00F55371"/>
    <w:rsid w:val="00F55832"/>
    <w:rsid w:val="00F56F2D"/>
    <w:rsid w:val="00F5745E"/>
    <w:rsid w:val="00F60878"/>
    <w:rsid w:val="00F61DF7"/>
    <w:rsid w:val="00F623A8"/>
    <w:rsid w:val="00F631B7"/>
    <w:rsid w:val="00F63F9A"/>
    <w:rsid w:val="00F64D91"/>
    <w:rsid w:val="00F66203"/>
    <w:rsid w:val="00F66574"/>
    <w:rsid w:val="00F676E9"/>
    <w:rsid w:val="00F70925"/>
    <w:rsid w:val="00F71CCE"/>
    <w:rsid w:val="00F7246E"/>
    <w:rsid w:val="00F72D4E"/>
    <w:rsid w:val="00F736D4"/>
    <w:rsid w:val="00F738FD"/>
    <w:rsid w:val="00F7482D"/>
    <w:rsid w:val="00F75488"/>
    <w:rsid w:val="00F75A82"/>
    <w:rsid w:val="00F77157"/>
    <w:rsid w:val="00F77BB7"/>
    <w:rsid w:val="00F80F5C"/>
    <w:rsid w:val="00F81C55"/>
    <w:rsid w:val="00F84A09"/>
    <w:rsid w:val="00F84BFB"/>
    <w:rsid w:val="00F86E8B"/>
    <w:rsid w:val="00F9242D"/>
    <w:rsid w:val="00F938AD"/>
    <w:rsid w:val="00F94B88"/>
    <w:rsid w:val="00F960E5"/>
    <w:rsid w:val="00F97C18"/>
    <w:rsid w:val="00FA032A"/>
    <w:rsid w:val="00FA0C44"/>
    <w:rsid w:val="00FA1D60"/>
    <w:rsid w:val="00FA21BA"/>
    <w:rsid w:val="00FA51DB"/>
    <w:rsid w:val="00FA5862"/>
    <w:rsid w:val="00FA58B3"/>
    <w:rsid w:val="00FA6841"/>
    <w:rsid w:val="00FA6DC8"/>
    <w:rsid w:val="00FB0D83"/>
    <w:rsid w:val="00FB14EE"/>
    <w:rsid w:val="00FB3B87"/>
    <w:rsid w:val="00FB41F1"/>
    <w:rsid w:val="00FB64DC"/>
    <w:rsid w:val="00FB76CE"/>
    <w:rsid w:val="00FB77F2"/>
    <w:rsid w:val="00FC0054"/>
    <w:rsid w:val="00FC1844"/>
    <w:rsid w:val="00FC1AEA"/>
    <w:rsid w:val="00FC4C6B"/>
    <w:rsid w:val="00FC54A4"/>
    <w:rsid w:val="00FC6403"/>
    <w:rsid w:val="00FC642B"/>
    <w:rsid w:val="00FC7A58"/>
    <w:rsid w:val="00FD1BAA"/>
    <w:rsid w:val="00FD2FCD"/>
    <w:rsid w:val="00FD3A41"/>
    <w:rsid w:val="00FD3FBF"/>
    <w:rsid w:val="00FD49A5"/>
    <w:rsid w:val="00FD4C58"/>
    <w:rsid w:val="00FE1315"/>
    <w:rsid w:val="00FF0D70"/>
    <w:rsid w:val="00FF3BE8"/>
    <w:rsid w:val="00FF4B45"/>
    <w:rsid w:val="00FF61F1"/>
    <w:rsid w:val="00FF6285"/>
    <w:rsid w:val="00FF6DAF"/>
    <w:rsid w:val="00FF70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colormru v:ext="edit" colors="#ffc,#ff6,#ff9"/>
      <o:colormenu v:ext="edit" fillcolor="none" strokecolor="none" shadowcolor="none"/>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1"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8"/>
    <w:pPr>
      <w:bidi/>
    </w:pPr>
    <w:rPr>
      <w:sz w:val="24"/>
      <w:szCs w:val="24"/>
      <w:lang w:eastAsia="zh-CN" w:bidi="ar-LB"/>
    </w:rPr>
  </w:style>
  <w:style w:type="paragraph" w:styleId="Heading1">
    <w:name w:val="heading 1"/>
    <w:basedOn w:val="Normal"/>
    <w:next w:val="Normal"/>
    <w:link w:val="Heading1Char"/>
    <w:uiPriority w:val="9"/>
    <w:qFormat/>
    <w:rsid w:val="005E20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3">
    <w:name w:val="Table 3D effects 3"/>
    <w:basedOn w:val="TableNormal"/>
    <w:rsid w:val="000F3F86"/>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4D6D"/>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80C22"/>
    <w:pPr>
      <w:tabs>
        <w:tab w:val="center" w:pos="4153"/>
        <w:tab w:val="right" w:pos="8306"/>
      </w:tabs>
    </w:pPr>
  </w:style>
  <w:style w:type="character" w:styleId="PageNumber">
    <w:name w:val="page number"/>
    <w:basedOn w:val="DefaultParagraphFont"/>
    <w:rsid w:val="00380C22"/>
  </w:style>
  <w:style w:type="table" w:styleId="TableGrid">
    <w:name w:val="Table Grid"/>
    <w:basedOn w:val="TableNormal"/>
    <w:rsid w:val="00D7008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6916"/>
    <w:pPr>
      <w:bidi w:val="0"/>
      <w:spacing w:before="100" w:beforeAutospacing="1" w:after="100" w:afterAutospacing="1"/>
    </w:pPr>
  </w:style>
  <w:style w:type="character" w:styleId="Strong">
    <w:name w:val="Strong"/>
    <w:basedOn w:val="DefaultParagraphFont"/>
    <w:uiPriority w:val="22"/>
    <w:qFormat/>
    <w:rsid w:val="00B36916"/>
    <w:rPr>
      <w:b/>
      <w:bCs/>
    </w:rPr>
  </w:style>
  <w:style w:type="paragraph" w:styleId="Header">
    <w:name w:val="header"/>
    <w:basedOn w:val="Normal"/>
    <w:link w:val="HeaderChar"/>
    <w:rsid w:val="00FB77F2"/>
    <w:pPr>
      <w:tabs>
        <w:tab w:val="center" w:pos="4153"/>
        <w:tab w:val="right" w:pos="8306"/>
      </w:tabs>
    </w:pPr>
  </w:style>
  <w:style w:type="paragraph" w:styleId="BalloonText">
    <w:name w:val="Balloon Text"/>
    <w:basedOn w:val="Normal"/>
    <w:link w:val="BalloonTextChar"/>
    <w:semiHidden/>
    <w:rsid w:val="005B41D1"/>
    <w:rPr>
      <w:rFonts w:ascii="Tahoma" w:hAnsi="Tahoma" w:cs="Tahoma"/>
      <w:sz w:val="16"/>
      <w:szCs w:val="16"/>
    </w:rPr>
  </w:style>
  <w:style w:type="paragraph" w:customStyle="1" w:styleId="Default">
    <w:name w:val="Default"/>
    <w:rsid w:val="00807036"/>
    <w:pPr>
      <w:autoSpaceDE w:val="0"/>
      <w:autoSpaceDN w:val="0"/>
      <w:adjustRightInd w:val="0"/>
    </w:pPr>
    <w:rPr>
      <w:color w:val="000000"/>
      <w:sz w:val="24"/>
      <w:szCs w:val="24"/>
      <w:lang w:eastAsia="zh-CN" w:bidi="ar-LB"/>
    </w:rPr>
  </w:style>
  <w:style w:type="paragraph" w:styleId="ListParagraph">
    <w:name w:val="List Paragraph"/>
    <w:basedOn w:val="Normal"/>
    <w:uiPriority w:val="34"/>
    <w:qFormat/>
    <w:rsid w:val="00CF6EB9"/>
    <w:pPr>
      <w:bidi w:val="0"/>
      <w:spacing w:after="200" w:line="276" w:lineRule="auto"/>
      <w:ind w:left="720"/>
      <w:contextualSpacing/>
    </w:pPr>
    <w:rPr>
      <w:rFonts w:ascii="Calibri" w:eastAsia="MS Mincho" w:hAnsi="Calibri" w:cs="Arial"/>
      <w:sz w:val="22"/>
      <w:szCs w:val="22"/>
      <w:lang w:eastAsia="en-US" w:bidi="ar-SA"/>
    </w:rPr>
  </w:style>
  <w:style w:type="character" w:customStyle="1" w:styleId="shorttext1">
    <w:name w:val="short_text1"/>
    <w:basedOn w:val="DefaultParagraphFont"/>
    <w:rsid w:val="00856C83"/>
    <w:rPr>
      <w:sz w:val="29"/>
      <w:szCs w:val="29"/>
    </w:rPr>
  </w:style>
  <w:style w:type="paragraph" w:styleId="DocumentMap">
    <w:name w:val="Document Map"/>
    <w:basedOn w:val="Normal"/>
    <w:link w:val="DocumentMapChar"/>
    <w:uiPriority w:val="99"/>
    <w:semiHidden/>
    <w:unhideWhenUsed/>
    <w:rsid w:val="00582F4E"/>
    <w:rPr>
      <w:rFonts w:ascii="Tahoma" w:hAnsi="Tahoma" w:cs="Tahoma"/>
      <w:sz w:val="16"/>
      <w:szCs w:val="16"/>
    </w:rPr>
  </w:style>
  <w:style w:type="character" w:customStyle="1" w:styleId="DocumentMapChar">
    <w:name w:val="Document Map Char"/>
    <w:basedOn w:val="DefaultParagraphFont"/>
    <w:link w:val="DocumentMap"/>
    <w:uiPriority w:val="99"/>
    <w:semiHidden/>
    <w:rsid w:val="00582F4E"/>
    <w:rPr>
      <w:rFonts w:ascii="Tahoma" w:hAnsi="Tahoma" w:cs="Tahoma"/>
      <w:sz w:val="16"/>
      <w:szCs w:val="16"/>
      <w:lang w:eastAsia="zh-CN" w:bidi="ar-LB"/>
    </w:rPr>
  </w:style>
  <w:style w:type="paragraph" w:styleId="FootnoteText">
    <w:name w:val="footnote text"/>
    <w:basedOn w:val="Normal"/>
    <w:link w:val="FootnoteTextChar"/>
    <w:uiPriority w:val="99"/>
    <w:semiHidden/>
    <w:unhideWhenUsed/>
    <w:rsid w:val="00582F4E"/>
    <w:rPr>
      <w:sz w:val="20"/>
      <w:szCs w:val="20"/>
    </w:rPr>
  </w:style>
  <w:style w:type="character" w:customStyle="1" w:styleId="FootnoteTextChar">
    <w:name w:val="Footnote Text Char"/>
    <w:basedOn w:val="DefaultParagraphFont"/>
    <w:link w:val="FootnoteText"/>
    <w:uiPriority w:val="99"/>
    <w:semiHidden/>
    <w:rsid w:val="00582F4E"/>
    <w:rPr>
      <w:lang w:eastAsia="zh-CN" w:bidi="ar-LB"/>
    </w:rPr>
  </w:style>
  <w:style w:type="character" w:styleId="FootnoteReference">
    <w:name w:val="footnote reference"/>
    <w:basedOn w:val="DefaultParagraphFont"/>
    <w:uiPriority w:val="99"/>
    <w:semiHidden/>
    <w:unhideWhenUsed/>
    <w:rsid w:val="00582F4E"/>
    <w:rPr>
      <w:vertAlign w:val="superscript"/>
    </w:rPr>
  </w:style>
  <w:style w:type="character" w:styleId="Hyperlink">
    <w:name w:val="Hyperlink"/>
    <w:basedOn w:val="DefaultParagraphFont"/>
    <w:uiPriority w:val="99"/>
    <w:unhideWhenUsed/>
    <w:rsid w:val="00BE77E6"/>
    <w:rPr>
      <w:color w:val="0000FF" w:themeColor="hyperlink"/>
      <w:u w:val="single"/>
    </w:rPr>
  </w:style>
  <w:style w:type="character" w:customStyle="1" w:styleId="FooterChar">
    <w:name w:val="Footer Char"/>
    <w:basedOn w:val="DefaultParagraphFont"/>
    <w:link w:val="Footer"/>
    <w:uiPriority w:val="99"/>
    <w:rsid w:val="0047432D"/>
    <w:rPr>
      <w:sz w:val="24"/>
      <w:szCs w:val="24"/>
      <w:lang w:eastAsia="zh-CN" w:bidi="ar-LB"/>
    </w:rPr>
  </w:style>
  <w:style w:type="paragraph" w:styleId="EndnoteText">
    <w:name w:val="endnote text"/>
    <w:basedOn w:val="Normal"/>
    <w:link w:val="EndnoteTextChar"/>
    <w:uiPriority w:val="99"/>
    <w:semiHidden/>
    <w:unhideWhenUsed/>
    <w:rsid w:val="001E6845"/>
    <w:rPr>
      <w:sz w:val="20"/>
      <w:szCs w:val="20"/>
    </w:rPr>
  </w:style>
  <w:style w:type="character" w:customStyle="1" w:styleId="EndnoteTextChar">
    <w:name w:val="Endnote Text Char"/>
    <w:basedOn w:val="DefaultParagraphFont"/>
    <w:link w:val="EndnoteText"/>
    <w:uiPriority w:val="99"/>
    <w:semiHidden/>
    <w:rsid w:val="001E6845"/>
    <w:rPr>
      <w:lang w:eastAsia="zh-CN" w:bidi="ar-LB"/>
    </w:rPr>
  </w:style>
  <w:style w:type="character" w:styleId="EndnoteReference">
    <w:name w:val="endnote reference"/>
    <w:basedOn w:val="DefaultParagraphFont"/>
    <w:uiPriority w:val="99"/>
    <w:semiHidden/>
    <w:unhideWhenUsed/>
    <w:rsid w:val="001E6845"/>
    <w:rPr>
      <w:vertAlign w:val="superscript"/>
    </w:rPr>
  </w:style>
  <w:style w:type="character" w:customStyle="1" w:styleId="HeaderChar">
    <w:name w:val="Header Char"/>
    <w:basedOn w:val="DefaultParagraphFont"/>
    <w:link w:val="Header"/>
    <w:rsid w:val="00680037"/>
    <w:rPr>
      <w:sz w:val="24"/>
      <w:szCs w:val="24"/>
      <w:lang w:eastAsia="zh-CN" w:bidi="ar-LB"/>
    </w:rPr>
  </w:style>
  <w:style w:type="character" w:customStyle="1" w:styleId="BalloonTextChar">
    <w:name w:val="Balloon Text Char"/>
    <w:basedOn w:val="DefaultParagraphFont"/>
    <w:link w:val="BalloonText"/>
    <w:semiHidden/>
    <w:rsid w:val="00680037"/>
    <w:rPr>
      <w:rFonts w:ascii="Tahoma" w:hAnsi="Tahoma" w:cs="Tahoma"/>
      <w:sz w:val="16"/>
      <w:szCs w:val="16"/>
      <w:lang w:eastAsia="zh-CN" w:bidi="ar-LB"/>
    </w:rPr>
  </w:style>
  <w:style w:type="character" w:customStyle="1" w:styleId="Heading1Char">
    <w:name w:val="Heading 1 Char"/>
    <w:basedOn w:val="DefaultParagraphFont"/>
    <w:link w:val="Heading1"/>
    <w:uiPriority w:val="9"/>
    <w:rsid w:val="005E209B"/>
    <w:rPr>
      <w:rFonts w:asciiTheme="majorHAnsi" w:eastAsiaTheme="majorEastAsia" w:hAnsiTheme="majorHAnsi" w:cstheme="majorBidi"/>
      <w:b/>
      <w:bCs/>
      <w:color w:val="365F91" w:themeColor="accent1" w:themeShade="BF"/>
      <w:sz w:val="28"/>
      <w:szCs w:val="28"/>
      <w:lang w:eastAsia="zh-CN" w:bidi="ar-LB"/>
    </w:rPr>
  </w:style>
  <w:style w:type="paragraph" w:styleId="TOCHeading">
    <w:name w:val="TOC Heading"/>
    <w:basedOn w:val="Heading1"/>
    <w:next w:val="Normal"/>
    <w:uiPriority w:val="39"/>
    <w:semiHidden/>
    <w:unhideWhenUsed/>
    <w:qFormat/>
    <w:rsid w:val="005E209B"/>
    <w:pPr>
      <w:bidi w:val="0"/>
      <w:spacing w:line="276" w:lineRule="auto"/>
      <w:outlineLvl w:val="9"/>
    </w:pPr>
    <w:rPr>
      <w:lang w:eastAsia="en-US" w:bidi="ar-SA"/>
    </w:rPr>
  </w:style>
  <w:style w:type="paragraph" w:styleId="TOC1">
    <w:name w:val="toc 1"/>
    <w:basedOn w:val="Normal"/>
    <w:next w:val="Normal"/>
    <w:autoRedefine/>
    <w:uiPriority w:val="39"/>
    <w:unhideWhenUsed/>
    <w:rsid w:val="007538AA"/>
    <w:pPr>
      <w:tabs>
        <w:tab w:val="right" w:leader="dot" w:pos="9628"/>
      </w:tabs>
      <w:bidi w:val="0"/>
      <w:spacing w:after="100"/>
    </w:pPr>
    <w:rPr>
      <w:rFonts w:asciiTheme="majorBidi" w:hAnsiTheme="majorBidi"/>
      <w:noProof/>
      <w:spacing w:val="-2"/>
    </w:rPr>
  </w:style>
  <w:style w:type="paragraph" w:styleId="TOC2">
    <w:name w:val="toc 2"/>
    <w:basedOn w:val="Normal"/>
    <w:next w:val="Normal"/>
    <w:autoRedefine/>
    <w:uiPriority w:val="39"/>
    <w:unhideWhenUsed/>
    <w:rsid w:val="005E209B"/>
    <w:pPr>
      <w:spacing w:after="100" w:line="276" w:lineRule="auto"/>
      <w:ind w:left="220"/>
    </w:pPr>
    <w:rPr>
      <w:rFonts w:asciiTheme="minorHAnsi" w:eastAsiaTheme="minorEastAsia" w:hAnsiTheme="minorHAnsi" w:cstheme="minorBidi"/>
      <w:sz w:val="22"/>
      <w:szCs w:val="22"/>
      <w:lang w:eastAsia="en-US" w:bidi="ar-SA"/>
    </w:rPr>
  </w:style>
  <w:style w:type="paragraph" w:styleId="TOC3">
    <w:name w:val="toc 3"/>
    <w:basedOn w:val="Normal"/>
    <w:next w:val="Normal"/>
    <w:autoRedefine/>
    <w:uiPriority w:val="39"/>
    <w:unhideWhenUsed/>
    <w:rsid w:val="005E209B"/>
    <w:pPr>
      <w:spacing w:after="100" w:line="276" w:lineRule="auto"/>
      <w:ind w:left="440"/>
    </w:pPr>
    <w:rPr>
      <w:rFonts w:asciiTheme="minorHAnsi" w:eastAsiaTheme="minorEastAsia" w:hAnsiTheme="minorHAnsi" w:cstheme="minorBidi"/>
      <w:sz w:val="22"/>
      <w:szCs w:val="22"/>
      <w:lang w:eastAsia="en-US" w:bidi="ar-SA"/>
    </w:rPr>
  </w:style>
  <w:style w:type="paragraph" w:styleId="TOC4">
    <w:name w:val="toc 4"/>
    <w:basedOn w:val="Normal"/>
    <w:next w:val="Normal"/>
    <w:autoRedefine/>
    <w:uiPriority w:val="39"/>
    <w:unhideWhenUsed/>
    <w:rsid w:val="005E209B"/>
    <w:pPr>
      <w:spacing w:after="100" w:line="276" w:lineRule="auto"/>
      <w:ind w:left="660"/>
    </w:pPr>
    <w:rPr>
      <w:rFonts w:asciiTheme="minorHAnsi" w:eastAsiaTheme="minorEastAsia" w:hAnsiTheme="minorHAnsi" w:cstheme="minorBidi"/>
      <w:sz w:val="22"/>
      <w:szCs w:val="22"/>
      <w:lang w:eastAsia="en-US" w:bidi="ar-SA"/>
    </w:rPr>
  </w:style>
  <w:style w:type="paragraph" w:styleId="TOC5">
    <w:name w:val="toc 5"/>
    <w:basedOn w:val="Normal"/>
    <w:next w:val="Normal"/>
    <w:autoRedefine/>
    <w:uiPriority w:val="39"/>
    <w:unhideWhenUsed/>
    <w:rsid w:val="005E209B"/>
    <w:pPr>
      <w:spacing w:after="100" w:line="276" w:lineRule="auto"/>
      <w:ind w:left="880"/>
    </w:pPr>
    <w:rPr>
      <w:rFonts w:asciiTheme="minorHAnsi" w:eastAsiaTheme="minorEastAsia" w:hAnsiTheme="minorHAnsi" w:cstheme="minorBidi"/>
      <w:sz w:val="22"/>
      <w:szCs w:val="22"/>
      <w:lang w:eastAsia="en-US" w:bidi="ar-SA"/>
    </w:rPr>
  </w:style>
  <w:style w:type="paragraph" w:styleId="TOC6">
    <w:name w:val="toc 6"/>
    <w:basedOn w:val="Normal"/>
    <w:next w:val="Normal"/>
    <w:autoRedefine/>
    <w:uiPriority w:val="39"/>
    <w:unhideWhenUsed/>
    <w:rsid w:val="005E209B"/>
    <w:pPr>
      <w:spacing w:after="100" w:line="276" w:lineRule="auto"/>
      <w:ind w:left="1100"/>
    </w:pPr>
    <w:rPr>
      <w:rFonts w:asciiTheme="minorHAnsi" w:eastAsiaTheme="minorEastAsia" w:hAnsiTheme="minorHAnsi" w:cstheme="minorBidi"/>
      <w:sz w:val="22"/>
      <w:szCs w:val="22"/>
      <w:lang w:eastAsia="en-US" w:bidi="ar-SA"/>
    </w:rPr>
  </w:style>
  <w:style w:type="paragraph" w:styleId="TOC7">
    <w:name w:val="toc 7"/>
    <w:basedOn w:val="Normal"/>
    <w:next w:val="Normal"/>
    <w:autoRedefine/>
    <w:uiPriority w:val="39"/>
    <w:unhideWhenUsed/>
    <w:rsid w:val="005E209B"/>
    <w:pPr>
      <w:spacing w:after="100" w:line="276" w:lineRule="auto"/>
      <w:ind w:left="1320"/>
    </w:pPr>
    <w:rPr>
      <w:rFonts w:asciiTheme="minorHAnsi" w:eastAsiaTheme="minorEastAsia" w:hAnsiTheme="minorHAnsi" w:cstheme="minorBidi"/>
      <w:sz w:val="22"/>
      <w:szCs w:val="22"/>
      <w:lang w:eastAsia="en-US" w:bidi="ar-SA"/>
    </w:rPr>
  </w:style>
  <w:style w:type="paragraph" w:styleId="TOC8">
    <w:name w:val="toc 8"/>
    <w:basedOn w:val="Normal"/>
    <w:next w:val="Normal"/>
    <w:autoRedefine/>
    <w:uiPriority w:val="39"/>
    <w:unhideWhenUsed/>
    <w:rsid w:val="005E209B"/>
    <w:pPr>
      <w:spacing w:after="100" w:line="276" w:lineRule="auto"/>
      <w:ind w:left="1540"/>
    </w:pPr>
    <w:rPr>
      <w:rFonts w:asciiTheme="minorHAnsi" w:eastAsiaTheme="minorEastAsia" w:hAnsiTheme="minorHAnsi" w:cstheme="minorBidi"/>
      <w:sz w:val="22"/>
      <w:szCs w:val="22"/>
      <w:lang w:eastAsia="en-US" w:bidi="ar-SA"/>
    </w:rPr>
  </w:style>
  <w:style w:type="paragraph" w:styleId="TOC9">
    <w:name w:val="toc 9"/>
    <w:basedOn w:val="Normal"/>
    <w:next w:val="Normal"/>
    <w:autoRedefine/>
    <w:uiPriority w:val="39"/>
    <w:unhideWhenUsed/>
    <w:rsid w:val="005E209B"/>
    <w:pPr>
      <w:spacing w:after="100" w:line="276" w:lineRule="auto"/>
      <w:ind w:left="1760"/>
    </w:pPr>
    <w:rPr>
      <w:rFonts w:asciiTheme="minorHAnsi" w:eastAsiaTheme="minorEastAsia"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17838115">
      <w:bodyDiv w:val="1"/>
      <w:marLeft w:val="0"/>
      <w:marRight w:val="0"/>
      <w:marTop w:val="0"/>
      <w:marBottom w:val="0"/>
      <w:divBdr>
        <w:top w:val="none" w:sz="0" w:space="0" w:color="auto"/>
        <w:left w:val="none" w:sz="0" w:space="0" w:color="auto"/>
        <w:bottom w:val="none" w:sz="0" w:space="0" w:color="auto"/>
        <w:right w:val="none" w:sz="0" w:space="0" w:color="auto"/>
      </w:divBdr>
    </w:div>
    <w:div w:id="122114326">
      <w:bodyDiv w:val="1"/>
      <w:marLeft w:val="0"/>
      <w:marRight w:val="0"/>
      <w:marTop w:val="0"/>
      <w:marBottom w:val="0"/>
      <w:divBdr>
        <w:top w:val="none" w:sz="0" w:space="0" w:color="auto"/>
        <w:left w:val="none" w:sz="0" w:space="0" w:color="auto"/>
        <w:bottom w:val="none" w:sz="0" w:space="0" w:color="auto"/>
        <w:right w:val="none" w:sz="0" w:space="0" w:color="auto"/>
      </w:divBdr>
    </w:div>
    <w:div w:id="134107502">
      <w:bodyDiv w:val="1"/>
      <w:marLeft w:val="0"/>
      <w:marRight w:val="0"/>
      <w:marTop w:val="0"/>
      <w:marBottom w:val="0"/>
      <w:divBdr>
        <w:top w:val="none" w:sz="0" w:space="0" w:color="auto"/>
        <w:left w:val="none" w:sz="0" w:space="0" w:color="auto"/>
        <w:bottom w:val="none" w:sz="0" w:space="0" w:color="auto"/>
        <w:right w:val="none" w:sz="0" w:space="0" w:color="auto"/>
      </w:divBdr>
    </w:div>
    <w:div w:id="215121452">
      <w:bodyDiv w:val="1"/>
      <w:marLeft w:val="0"/>
      <w:marRight w:val="0"/>
      <w:marTop w:val="0"/>
      <w:marBottom w:val="0"/>
      <w:divBdr>
        <w:top w:val="none" w:sz="0" w:space="0" w:color="auto"/>
        <w:left w:val="none" w:sz="0" w:space="0" w:color="auto"/>
        <w:bottom w:val="none" w:sz="0" w:space="0" w:color="auto"/>
        <w:right w:val="none" w:sz="0" w:space="0" w:color="auto"/>
      </w:divBdr>
    </w:div>
    <w:div w:id="346635520">
      <w:bodyDiv w:val="1"/>
      <w:marLeft w:val="0"/>
      <w:marRight w:val="0"/>
      <w:marTop w:val="0"/>
      <w:marBottom w:val="0"/>
      <w:divBdr>
        <w:top w:val="none" w:sz="0" w:space="0" w:color="auto"/>
        <w:left w:val="none" w:sz="0" w:space="0" w:color="auto"/>
        <w:bottom w:val="none" w:sz="0" w:space="0" w:color="auto"/>
        <w:right w:val="none" w:sz="0" w:space="0" w:color="auto"/>
      </w:divBdr>
    </w:div>
    <w:div w:id="350883538">
      <w:bodyDiv w:val="1"/>
      <w:marLeft w:val="0"/>
      <w:marRight w:val="0"/>
      <w:marTop w:val="0"/>
      <w:marBottom w:val="0"/>
      <w:divBdr>
        <w:top w:val="none" w:sz="0" w:space="0" w:color="auto"/>
        <w:left w:val="none" w:sz="0" w:space="0" w:color="auto"/>
        <w:bottom w:val="none" w:sz="0" w:space="0" w:color="auto"/>
        <w:right w:val="none" w:sz="0" w:space="0" w:color="auto"/>
      </w:divBdr>
    </w:div>
    <w:div w:id="510025968">
      <w:bodyDiv w:val="1"/>
      <w:marLeft w:val="0"/>
      <w:marRight w:val="0"/>
      <w:marTop w:val="0"/>
      <w:marBottom w:val="0"/>
      <w:divBdr>
        <w:top w:val="none" w:sz="0" w:space="0" w:color="auto"/>
        <w:left w:val="none" w:sz="0" w:space="0" w:color="auto"/>
        <w:bottom w:val="none" w:sz="0" w:space="0" w:color="auto"/>
        <w:right w:val="none" w:sz="0" w:space="0" w:color="auto"/>
      </w:divBdr>
    </w:div>
    <w:div w:id="658382819">
      <w:bodyDiv w:val="1"/>
      <w:marLeft w:val="0"/>
      <w:marRight w:val="0"/>
      <w:marTop w:val="0"/>
      <w:marBottom w:val="0"/>
      <w:divBdr>
        <w:top w:val="none" w:sz="0" w:space="0" w:color="auto"/>
        <w:left w:val="none" w:sz="0" w:space="0" w:color="auto"/>
        <w:bottom w:val="none" w:sz="0" w:space="0" w:color="auto"/>
        <w:right w:val="none" w:sz="0" w:space="0" w:color="auto"/>
      </w:divBdr>
    </w:div>
    <w:div w:id="767458739">
      <w:bodyDiv w:val="1"/>
      <w:marLeft w:val="0"/>
      <w:marRight w:val="0"/>
      <w:marTop w:val="0"/>
      <w:marBottom w:val="0"/>
      <w:divBdr>
        <w:top w:val="none" w:sz="0" w:space="0" w:color="auto"/>
        <w:left w:val="none" w:sz="0" w:space="0" w:color="auto"/>
        <w:bottom w:val="none" w:sz="0" w:space="0" w:color="auto"/>
        <w:right w:val="none" w:sz="0" w:space="0" w:color="auto"/>
      </w:divBdr>
    </w:div>
    <w:div w:id="863057568">
      <w:bodyDiv w:val="1"/>
      <w:marLeft w:val="0"/>
      <w:marRight w:val="0"/>
      <w:marTop w:val="0"/>
      <w:marBottom w:val="0"/>
      <w:divBdr>
        <w:top w:val="none" w:sz="0" w:space="0" w:color="auto"/>
        <w:left w:val="none" w:sz="0" w:space="0" w:color="auto"/>
        <w:bottom w:val="none" w:sz="0" w:space="0" w:color="auto"/>
        <w:right w:val="none" w:sz="0" w:space="0" w:color="auto"/>
      </w:divBdr>
    </w:div>
    <w:div w:id="1014647520">
      <w:bodyDiv w:val="1"/>
      <w:marLeft w:val="0"/>
      <w:marRight w:val="0"/>
      <w:marTop w:val="0"/>
      <w:marBottom w:val="0"/>
      <w:divBdr>
        <w:top w:val="none" w:sz="0" w:space="0" w:color="auto"/>
        <w:left w:val="none" w:sz="0" w:space="0" w:color="auto"/>
        <w:bottom w:val="none" w:sz="0" w:space="0" w:color="auto"/>
        <w:right w:val="none" w:sz="0" w:space="0" w:color="auto"/>
      </w:divBdr>
    </w:div>
    <w:div w:id="1108158558">
      <w:bodyDiv w:val="1"/>
      <w:marLeft w:val="0"/>
      <w:marRight w:val="0"/>
      <w:marTop w:val="0"/>
      <w:marBottom w:val="0"/>
      <w:divBdr>
        <w:top w:val="none" w:sz="0" w:space="0" w:color="auto"/>
        <w:left w:val="none" w:sz="0" w:space="0" w:color="auto"/>
        <w:bottom w:val="none" w:sz="0" w:space="0" w:color="auto"/>
        <w:right w:val="none" w:sz="0" w:space="0" w:color="auto"/>
      </w:divBdr>
    </w:div>
    <w:div w:id="1134759215">
      <w:bodyDiv w:val="1"/>
      <w:marLeft w:val="0"/>
      <w:marRight w:val="0"/>
      <w:marTop w:val="0"/>
      <w:marBottom w:val="0"/>
      <w:divBdr>
        <w:top w:val="none" w:sz="0" w:space="0" w:color="auto"/>
        <w:left w:val="none" w:sz="0" w:space="0" w:color="auto"/>
        <w:bottom w:val="none" w:sz="0" w:space="0" w:color="auto"/>
        <w:right w:val="none" w:sz="0" w:space="0" w:color="auto"/>
      </w:divBdr>
    </w:div>
    <w:div w:id="1200511888">
      <w:bodyDiv w:val="1"/>
      <w:marLeft w:val="0"/>
      <w:marRight w:val="0"/>
      <w:marTop w:val="0"/>
      <w:marBottom w:val="0"/>
      <w:divBdr>
        <w:top w:val="none" w:sz="0" w:space="0" w:color="auto"/>
        <w:left w:val="none" w:sz="0" w:space="0" w:color="auto"/>
        <w:bottom w:val="none" w:sz="0" w:space="0" w:color="auto"/>
        <w:right w:val="none" w:sz="0" w:space="0" w:color="auto"/>
      </w:divBdr>
    </w:div>
    <w:div w:id="1260673017">
      <w:bodyDiv w:val="1"/>
      <w:marLeft w:val="0"/>
      <w:marRight w:val="0"/>
      <w:marTop w:val="0"/>
      <w:marBottom w:val="0"/>
      <w:divBdr>
        <w:top w:val="none" w:sz="0" w:space="0" w:color="auto"/>
        <w:left w:val="none" w:sz="0" w:space="0" w:color="auto"/>
        <w:bottom w:val="none" w:sz="0" w:space="0" w:color="auto"/>
        <w:right w:val="none" w:sz="0" w:space="0" w:color="auto"/>
      </w:divBdr>
    </w:div>
    <w:div w:id="1310011504">
      <w:bodyDiv w:val="1"/>
      <w:marLeft w:val="0"/>
      <w:marRight w:val="0"/>
      <w:marTop w:val="0"/>
      <w:marBottom w:val="0"/>
      <w:divBdr>
        <w:top w:val="none" w:sz="0" w:space="0" w:color="auto"/>
        <w:left w:val="none" w:sz="0" w:space="0" w:color="auto"/>
        <w:bottom w:val="none" w:sz="0" w:space="0" w:color="auto"/>
        <w:right w:val="none" w:sz="0" w:space="0" w:color="auto"/>
      </w:divBdr>
    </w:div>
    <w:div w:id="1407334857">
      <w:bodyDiv w:val="1"/>
      <w:marLeft w:val="0"/>
      <w:marRight w:val="0"/>
      <w:marTop w:val="0"/>
      <w:marBottom w:val="0"/>
      <w:divBdr>
        <w:top w:val="none" w:sz="0" w:space="0" w:color="auto"/>
        <w:left w:val="none" w:sz="0" w:space="0" w:color="auto"/>
        <w:bottom w:val="none" w:sz="0" w:space="0" w:color="auto"/>
        <w:right w:val="none" w:sz="0" w:space="0" w:color="auto"/>
      </w:divBdr>
    </w:div>
    <w:div w:id="1592738452">
      <w:bodyDiv w:val="1"/>
      <w:marLeft w:val="0"/>
      <w:marRight w:val="0"/>
      <w:marTop w:val="0"/>
      <w:marBottom w:val="0"/>
      <w:divBdr>
        <w:top w:val="none" w:sz="0" w:space="0" w:color="auto"/>
        <w:left w:val="none" w:sz="0" w:space="0" w:color="auto"/>
        <w:bottom w:val="none" w:sz="0" w:space="0" w:color="auto"/>
        <w:right w:val="none" w:sz="0" w:space="0" w:color="auto"/>
      </w:divBdr>
    </w:div>
    <w:div w:id="1722679574">
      <w:bodyDiv w:val="1"/>
      <w:marLeft w:val="109"/>
      <w:marRight w:val="109"/>
      <w:marTop w:val="41"/>
      <w:marBottom w:val="41"/>
      <w:divBdr>
        <w:top w:val="none" w:sz="0" w:space="0" w:color="auto"/>
        <w:left w:val="none" w:sz="0" w:space="0" w:color="auto"/>
        <w:bottom w:val="none" w:sz="0" w:space="0" w:color="auto"/>
        <w:right w:val="none" w:sz="0" w:space="0" w:color="auto"/>
      </w:divBdr>
      <w:divsChild>
        <w:div w:id="1379279550">
          <w:marLeft w:val="0"/>
          <w:marRight w:val="0"/>
          <w:marTop w:val="0"/>
          <w:marBottom w:val="0"/>
          <w:divBdr>
            <w:top w:val="none" w:sz="0" w:space="0" w:color="auto"/>
            <w:left w:val="none" w:sz="0" w:space="0" w:color="auto"/>
            <w:bottom w:val="none" w:sz="0" w:space="0" w:color="auto"/>
            <w:right w:val="none" w:sz="0" w:space="0" w:color="auto"/>
          </w:divBdr>
          <w:divsChild>
            <w:div w:id="94716905">
              <w:marLeft w:val="217"/>
              <w:marRight w:val="217"/>
              <w:marTop w:val="0"/>
              <w:marBottom w:val="0"/>
              <w:divBdr>
                <w:top w:val="none" w:sz="0" w:space="0" w:color="auto"/>
                <w:left w:val="none" w:sz="0" w:space="0" w:color="auto"/>
                <w:bottom w:val="none" w:sz="0" w:space="0" w:color="auto"/>
                <w:right w:val="none" w:sz="0" w:space="0" w:color="auto"/>
              </w:divBdr>
              <w:divsChild>
                <w:div w:id="751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3919">
      <w:bodyDiv w:val="1"/>
      <w:marLeft w:val="0"/>
      <w:marRight w:val="0"/>
      <w:marTop w:val="0"/>
      <w:marBottom w:val="0"/>
      <w:divBdr>
        <w:top w:val="none" w:sz="0" w:space="0" w:color="auto"/>
        <w:left w:val="none" w:sz="0" w:space="0" w:color="auto"/>
        <w:bottom w:val="none" w:sz="0" w:space="0" w:color="auto"/>
        <w:right w:val="none" w:sz="0" w:space="0" w:color="auto"/>
      </w:divBdr>
    </w:div>
    <w:div w:id="1795127209">
      <w:bodyDiv w:val="1"/>
      <w:marLeft w:val="0"/>
      <w:marRight w:val="0"/>
      <w:marTop w:val="0"/>
      <w:marBottom w:val="0"/>
      <w:divBdr>
        <w:top w:val="none" w:sz="0" w:space="0" w:color="auto"/>
        <w:left w:val="none" w:sz="0" w:space="0" w:color="auto"/>
        <w:bottom w:val="none" w:sz="0" w:space="0" w:color="auto"/>
        <w:right w:val="none" w:sz="0" w:space="0" w:color="auto"/>
      </w:divBdr>
    </w:div>
    <w:div w:id="1919632706">
      <w:bodyDiv w:val="1"/>
      <w:marLeft w:val="0"/>
      <w:marRight w:val="0"/>
      <w:marTop w:val="0"/>
      <w:marBottom w:val="0"/>
      <w:divBdr>
        <w:top w:val="none" w:sz="0" w:space="0" w:color="auto"/>
        <w:left w:val="none" w:sz="0" w:space="0" w:color="auto"/>
        <w:bottom w:val="none" w:sz="0" w:space="0" w:color="auto"/>
        <w:right w:val="none" w:sz="0" w:space="0" w:color="auto"/>
      </w:divBdr>
    </w:div>
    <w:div w:id="1920141138">
      <w:bodyDiv w:val="1"/>
      <w:marLeft w:val="0"/>
      <w:marRight w:val="0"/>
      <w:marTop w:val="0"/>
      <w:marBottom w:val="0"/>
      <w:divBdr>
        <w:top w:val="none" w:sz="0" w:space="0" w:color="auto"/>
        <w:left w:val="none" w:sz="0" w:space="0" w:color="auto"/>
        <w:bottom w:val="none" w:sz="0" w:space="0" w:color="auto"/>
        <w:right w:val="none" w:sz="0" w:space="0" w:color="auto"/>
      </w:divBdr>
    </w:div>
    <w:div w:id="19339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FA3F-9780-42A3-AFE1-8BC8BE40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cas</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Cas-Statistics</cp:lastModifiedBy>
  <cp:revision>58</cp:revision>
  <cp:lastPrinted>2010-06-01T06:06:00Z</cp:lastPrinted>
  <dcterms:created xsi:type="dcterms:W3CDTF">2012-06-07T09:28:00Z</dcterms:created>
  <dcterms:modified xsi:type="dcterms:W3CDTF">2013-10-15T20:39:00Z</dcterms:modified>
</cp:coreProperties>
</file>