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7F" w:rsidRPr="005E209B" w:rsidRDefault="00CC6B17" w:rsidP="005E209B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80"/>
      <w:r>
        <w:rPr>
          <w:rFonts w:asciiTheme="majorBidi" w:hAnsiTheme="majorBidi"/>
          <w:color w:val="auto"/>
          <w:sz w:val="36"/>
          <w:szCs w:val="36"/>
        </w:rPr>
        <w:t>21</w:t>
      </w:r>
      <w:r w:rsidR="008F7C7F" w:rsidRPr="005E209B">
        <w:rPr>
          <w:rFonts w:asciiTheme="majorBidi" w:hAnsiTheme="majorBidi"/>
          <w:color w:val="auto"/>
          <w:sz w:val="36"/>
          <w:szCs w:val="36"/>
        </w:rPr>
        <w:t>. INSURANCE AND REINSURANCE</w:t>
      </w:r>
      <w:bookmarkEnd w:id="0"/>
    </w:p>
    <w:p w:rsidR="008F7C7F" w:rsidRPr="00FF61F1" w:rsidRDefault="008F7C7F" w:rsidP="008F7C7F">
      <w:pPr>
        <w:bidi w:val="0"/>
        <w:jc w:val="both"/>
      </w:pPr>
    </w:p>
    <w:p w:rsidR="008F7C7F" w:rsidRPr="00FF61F1" w:rsidRDefault="0037596F" w:rsidP="008F7C7F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01" type="#_x0000_t202" style="position:absolute;margin-left:-3.55pt;margin-top:0;width:480.55pt;height:44.65pt;z-index:251985920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901">
              <w:txbxContent>
                <w:p w:rsidR="003E3E10" w:rsidRPr="00CC6B17" w:rsidRDefault="003E3E10" w:rsidP="00C55B9A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The Ministry of Economy and Trade 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is the source of </w:t>
                  </w: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insurance 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statistics which deal with </w:t>
                  </w: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insurance companies, 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with </w:t>
                  </w: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the sector consolidated 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progress, balance</w:t>
                  </w: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 sheet and profit and loss accounts, with the consolidated income statement, with charges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, </w:t>
                  </w: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with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 taxation on insurance by branch, and finally with insurance portfolio </w:t>
                  </w:r>
                  <w:r w:rsidRPr="00CC6B1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</w:p>
    <w:p w:rsidR="008F7C7F" w:rsidRPr="00FF61F1" w:rsidRDefault="008F7C7F" w:rsidP="008F7C7F">
      <w:pPr>
        <w:bidi w:val="0"/>
      </w:pPr>
    </w:p>
    <w:p w:rsidR="008F7C7F" w:rsidRPr="00FF61F1" w:rsidRDefault="008F7C7F" w:rsidP="008F7C7F">
      <w:pPr>
        <w:bidi w:val="0"/>
        <w:jc w:val="center"/>
        <w:rPr>
          <w:b/>
          <w:bCs/>
          <w:noProof/>
          <w:sz w:val="16"/>
          <w:szCs w:val="16"/>
        </w:rPr>
      </w:pPr>
    </w:p>
    <w:p w:rsidR="008F7C7F" w:rsidRPr="00FF61F1" w:rsidRDefault="008F7C7F" w:rsidP="008F7C7F">
      <w:pPr>
        <w:bidi w:val="0"/>
        <w:jc w:val="center"/>
        <w:rPr>
          <w:b/>
          <w:bCs/>
          <w:noProof/>
          <w:sz w:val="16"/>
          <w:szCs w:val="16"/>
        </w:rPr>
      </w:pPr>
    </w:p>
    <w:p w:rsidR="008F7C7F" w:rsidRDefault="008F7C7F" w:rsidP="008F7C7F">
      <w:pPr>
        <w:bidi w:val="0"/>
        <w:jc w:val="center"/>
        <w:rPr>
          <w:b/>
          <w:bCs/>
          <w:noProof/>
          <w:sz w:val="16"/>
          <w:szCs w:val="16"/>
        </w:rPr>
      </w:pPr>
    </w:p>
    <w:p w:rsidR="00A14656" w:rsidRPr="00FF61F1" w:rsidRDefault="00A14656" w:rsidP="00A14656">
      <w:pPr>
        <w:bidi w:val="0"/>
        <w:jc w:val="center"/>
        <w:rPr>
          <w:b/>
          <w:bCs/>
          <w:noProof/>
          <w:sz w:val="16"/>
          <w:szCs w:val="16"/>
        </w:rPr>
      </w:pPr>
    </w:p>
    <w:p w:rsidR="008F7C7F" w:rsidRPr="00FF61F1" w:rsidRDefault="008F7C7F" w:rsidP="008F7C7F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Licensed insurance branches by company</w:t>
      </w:r>
    </w:p>
    <w:p w:rsidR="008F7C7F" w:rsidRPr="00FF61F1" w:rsidRDefault="008F7C7F" w:rsidP="008F7C7F">
      <w:pPr>
        <w:bidi w:val="0"/>
        <w:jc w:val="center"/>
        <w:rPr>
          <w:noProof/>
          <w:sz w:val="26"/>
          <w:szCs w:val="26"/>
        </w:rPr>
      </w:pPr>
    </w:p>
    <w:p w:rsidR="008F7C7F" w:rsidRPr="00FF61F1" w:rsidRDefault="0037596F" w:rsidP="00BC3CC2">
      <w:pPr>
        <w:bidi w:val="0"/>
        <w:jc w:val="both"/>
        <w:rPr>
          <w:noProof/>
          <w:sz w:val="22"/>
          <w:szCs w:val="22"/>
        </w:rPr>
      </w:pPr>
      <w:r w:rsidRPr="0037596F">
        <w:rPr>
          <w:noProof/>
          <w:lang w:eastAsia="en-US" w:bidi="ar-SA"/>
        </w:rPr>
        <w:pict>
          <v:shape id="_x0000_s1902" type="#_x0000_t202" style="position:absolute;left:0;text-align:left;margin-left:5.3pt;margin-top:30.3pt;width:471.7pt;height:251.65pt;z-index:251986944">
            <v:shadow on="t" opacity=".5" offset="-6pt,-6pt"/>
            <v:textbox style="mso-next-textbox:#_x0000_s1902">
              <w:txbxContent>
                <w:p w:rsidR="003E3E10" w:rsidRPr="00D7170E" w:rsidRDefault="003E3E10" w:rsidP="008F7C7F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3E3E10" w:rsidRPr="00D7170E" w:rsidRDefault="003E3E10" w:rsidP="00D7170E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D7170E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Graph 21.1 –Licensed insurance </w:t>
                  </w:r>
                  <w:r w:rsidRPr="00D7170E">
                    <w:rPr>
                      <w:rStyle w:val="Strong"/>
                      <w:color w:val="002060"/>
                      <w:sz w:val="20"/>
                      <w:szCs w:val="20"/>
                    </w:rPr>
                    <w:t>branches by company. % in 2010</w:t>
                  </w:r>
                </w:p>
                <w:p w:rsidR="003E3E10" w:rsidRPr="00D7170E" w:rsidRDefault="003E3E10" w:rsidP="008F7C7F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 w:rsidRPr="0037596F">
                    <w:rPr>
                      <w:color w:val="002060"/>
                      <w:sz w:val="12"/>
                      <w:szCs w:val="12"/>
                    </w:rPr>
                    <w:object w:dxaOrig="8765" w:dyaOrig="45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8.2pt;height:212.25pt" o:ole="">
                        <v:imagedata r:id="rId8" o:title=""/>
                      </v:shape>
                      <o:OLEObject Type="Embed" ProgID="Excel.Sheet.8" ShapeID="_x0000_i1025" DrawAspect="Content" ObjectID="_1443553853" r:id="rId9"/>
                    </w:object>
                  </w:r>
                </w:p>
                <w:p w:rsidR="003E3E10" w:rsidRPr="00D7170E" w:rsidRDefault="003E3E10" w:rsidP="00D7170E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D7170E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D7170E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the Ministry of Economy and Trade data (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D7170E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3E3E10" w:rsidRPr="00D7170E" w:rsidRDefault="003E3E10" w:rsidP="008F7C7F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type="square" anchorx="page"/>
          </v:shape>
        </w:pict>
      </w:r>
      <w:r w:rsidR="008F7C7F" w:rsidRPr="00FF61F1">
        <w:rPr>
          <w:sz w:val="22"/>
          <w:szCs w:val="22"/>
        </w:rPr>
        <w:t xml:space="preserve">In </w:t>
      </w:r>
      <w:r w:rsidR="00BC3CC2">
        <w:rPr>
          <w:sz w:val="22"/>
          <w:szCs w:val="22"/>
        </w:rPr>
        <w:t>2010</w:t>
      </w:r>
      <w:r w:rsidR="008F7C7F" w:rsidRPr="00FF61F1">
        <w:rPr>
          <w:sz w:val="22"/>
          <w:szCs w:val="22"/>
        </w:rPr>
        <w:t xml:space="preserve">, there are </w:t>
      </w:r>
      <w:r w:rsidR="00BC3CC2">
        <w:rPr>
          <w:noProof/>
          <w:sz w:val="22"/>
          <w:szCs w:val="22"/>
        </w:rPr>
        <w:t>52</w:t>
      </w:r>
      <w:r w:rsidR="008F7C7F" w:rsidRPr="00FF61F1">
        <w:rPr>
          <w:noProof/>
          <w:sz w:val="22"/>
          <w:szCs w:val="22"/>
        </w:rPr>
        <w:t xml:space="preserve"> insurance companies in Lebanon having 18</w:t>
      </w:r>
      <w:r w:rsidR="00BC3CC2">
        <w:rPr>
          <w:noProof/>
          <w:sz w:val="22"/>
          <w:szCs w:val="22"/>
        </w:rPr>
        <w:t>0</w:t>
      </w:r>
      <w:r w:rsidR="008F7C7F" w:rsidRPr="00FF61F1">
        <w:rPr>
          <w:noProof/>
          <w:sz w:val="22"/>
          <w:szCs w:val="22"/>
        </w:rPr>
        <w:t xml:space="preserve"> licensed insurance branches. </w:t>
      </w:r>
    </w:p>
    <w:p w:rsidR="00A14656" w:rsidRPr="00FF61F1" w:rsidRDefault="00A14656" w:rsidP="00A14656">
      <w:pPr>
        <w:bidi w:val="0"/>
        <w:rPr>
          <w:noProof/>
        </w:rPr>
      </w:pPr>
    </w:p>
    <w:p w:rsidR="008F7C7F" w:rsidRPr="00FF61F1" w:rsidRDefault="008F7C7F" w:rsidP="008F7C7F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Insurance sector consoli</w:t>
      </w:r>
      <w:r w:rsidR="00A14656">
        <w:rPr>
          <w:b/>
          <w:bCs/>
          <w:noProof/>
          <w:sz w:val="26"/>
          <w:szCs w:val="26"/>
        </w:rPr>
        <w:t>dated progress report (2001-2009</w:t>
      </w:r>
      <w:r w:rsidRPr="00FF61F1">
        <w:rPr>
          <w:b/>
          <w:bCs/>
          <w:noProof/>
          <w:sz w:val="26"/>
          <w:szCs w:val="26"/>
        </w:rPr>
        <w:t>)</w:t>
      </w:r>
    </w:p>
    <w:p w:rsidR="008F7C7F" w:rsidRPr="00FF61F1" w:rsidRDefault="008F7C7F" w:rsidP="008F7C7F">
      <w:pPr>
        <w:bidi w:val="0"/>
        <w:jc w:val="center"/>
        <w:rPr>
          <w:noProof/>
          <w:sz w:val="26"/>
          <w:szCs w:val="26"/>
        </w:rPr>
      </w:pPr>
    </w:p>
    <w:p w:rsidR="008F7C7F" w:rsidRPr="00FF61F1" w:rsidRDefault="008F7C7F" w:rsidP="00D7170E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Insurance sector grew between 2001 and </w:t>
      </w:r>
      <w:r w:rsidR="00D7170E">
        <w:rPr>
          <w:noProof/>
          <w:sz w:val="22"/>
          <w:szCs w:val="22"/>
        </w:rPr>
        <w:t>2010</w:t>
      </w:r>
      <w:r w:rsidRPr="00FF61F1">
        <w:rPr>
          <w:noProof/>
          <w:sz w:val="22"/>
          <w:szCs w:val="22"/>
        </w:rPr>
        <w:t xml:space="preserve"> as the following table and graph show.</w:t>
      </w:r>
    </w:p>
    <w:p w:rsidR="008F7C7F" w:rsidRPr="00FF61F1" w:rsidRDefault="008F7C7F" w:rsidP="008F7C7F">
      <w:pPr>
        <w:bidi w:val="0"/>
        <w:rPr>
          <w:noProof/>
        </w:rPr>
      </w:pPr>
    </w:p>
    <w:p w:rsidR="008F7C7F" w:rsidRPr="00D7170E" w:rsidRDefault="008F7C7F" w:rsidP="00D7170E">
      <w:pPr>
        <w:bidi w:val="0"/>
        <w:spacing w:line="180" w:lineRule="auto"/>
        <w:jc w:val="center"/>
        <w:outlineLvl w:val="0"/>
        <w:rPr>
          <w:b/>
          <w:bCs/>
          <w:sz w:val="22"/>
          <w:szCs w:val="22"/>
        </w:rPr>
      </w:pPr>
      <w:bookmarkStart w:id="1" w:name="_Toc263093781"/>
      <w:r w:rsidRPr="00D7170E">
        <w:rPr>
          <w:b/>
          <w:bCs/>
          <w:sz w:val="22"/>
          <w:szCs w:val="22"/>
        </w:rPr>
        <w:t xml:space="preserve">Table </w:t>
      </w:r>
      <w:r w:rsidR="00A14656" w:rsidRPr="00D7170E">
        <w:rPr>
          <w:b/>
          <w:bCs/>
          <w:sz w:val="22"/>
          <w:szCs w:val="22"/>
        </w:rPr>
        <w:t>21</w:t>
      </w:r>
      <w:r w:rsidRPr="00D7170E">
        <w:rPr>
          <w:b/>
          <w:bCs/>
          <w:sz w:val="22"/>
          <w:szCs w:val="22"/>
        </w:rPr>
        <w:t>.1 – Insurance consolidated progress report 2001-</w:t>
      </w:r>
      <w:bookmarkEnd w:id="1"/>
      <w:r w:rsidR="00D7170E" w:rsidRPr="00D7170E">
        <w:rPr>
          <w:b/>
          <w:bCs/>
          <w:sz w:val="22"/>
          <w:szCs w:val="22"/>
        </w:rPr>
        <w:t>2010</w:t>
      </w:r>
      <w:r w:rsidRPr="00D7170E">
        <w:rPr>
          <w:b/>
          <w:bCs/>
          <w:sz w:val="22"/>
          <w:szCs w:val="22"/>
        </w:rPr>
        <w:t xml:space="preserve"> </w:t>
      </w:r>
    </w:p>
    <w:tbl>
      <w:tblPr>
        <w:tblW w:w="6698" w:type="dxa"/>
        <w:jc w:val="center"/>
        <w:tblInd w:w="96" w:type="dxa"/>
        <w:tblLook w:val="04A0"/>
      </w:tblPr>
      <w:tblGrid>
        <w:gridCol w:w="2216"/>
        <w:gridCol w:w="1216"/>
        <w:gridCol w:w="1300"/>
        <w:gridCol w:w="1966"/>
      </w:tblGrid>
      <w:tr w:rsidR="00A14656" w:rsidRPr="00D7170E" w:rsidTr="00A14656">
        <w:trPr>
          <w:trHeight w:val="300"/>
          <w:jc w:val="center"/>
        </w:trPr>
        <w:tc>
          <w:tcPr>
            <w:tcW w:w="2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4656" w:rsidRPr="00D7170E" w:rsidRDefault="00A14656" w:rsidP="00A14656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Item in USD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4656" w:rsidRPr="00D7170E" w:rsidRDefault="00A14656" w:rsidP="00A14656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2001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4656" w:rsidRPr="00D7170E" w:rsidRDefault="00D7170E" w:rsidP="00A14656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2010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656" w:rsidRPr="00D7170E" w:rsidRDefault="00A14656" w:rsidP="00D7170E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Progress </w:t>
            </w:r>
            <w:r w:rsidR="00D7170E"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2010</w:t>
            </w: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/2001</w:t>
            </w:r>
            <w:r w:rsidR="00F3649C"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. %</w:t>
            </w:r>
          </w:p>
        </w:tc>
      </w:tr>
      <w:tr w:rsidR="00D7170E" w:rsidRPr="00D7170E" w:rsidTr="00A14656">
        <w:trPr>
          <w:trHeight w:val="300"/>
          <w:jc w:val="center"/>
        </w:trPr>
        <w:tc>
          <w:tcPr>
            <w:tcW w:w="2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Total written premiums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409,420,000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 1,151,822,519 </w:t>
            </w:r>
          </w:p>
        </w:tc>
        <w:tc>
          <w:tcPr>
            <w:tcW w:w="19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181.3</w:t>
            </w:r>
          </w:p>
        </w:tc>
      </w:tr>
      <w:tr w:rsidR="00D7170E" w:rsidRPr="00D7170E" w:rsidTr="00A14656">
        <w:trPr>
          <w:trHeight w:val="300"/>
          <w:jc w:val="center"/>
        </w:trPr>
        <w:tc>
          <w:tcPr>
            <w:tcW w:w="2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Total claim paid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226,265,500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 503,553,266 </w:t>
            </w: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122.6</w:t>
            </w:r>
          </w:p>
        </w:tc>
      </w:tr>
      <w:tr w:rsidR="00D7170E" w:rsidRPr="00D7170E" w:rsidTr="00A14656">
        <w:trPr>
          <w:trHeight w:val="300"/>
          <w:jc w:val="center"/>
        </w:trPr>
        <w:tc>
          <w:tcPr>
            <w:tcW w:w="2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Total ceded premiums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113,266,000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  216,673,374 </w:t>
            </w: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91.3</w:t>
            </w:r>
          </w:p>
        </w:tc>
      </w:tr>
      <w:tr w:rsidR="00D7170E" w:rsidRPr="00D7170E" w:rsidTr="00A14656">
        <w:trPr>
          <w:trHeight w:val="300"/>
          <w:jc w:val="center"/>
        </w:trPr>
        <w:tc>
          <w:tcPr>
            <w:tcW w:w="22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Total net profits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19,602,000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   88,713,975 </w:t>
            </w: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352.6</w:t>
            </w:r>
          </w:p>
        </w:tc>
      </w:tr>
      <w:tr w:rsidR="00D7170E" w:rsidRPr="00D7170E" w:rsidTr="00D7170E">
        <w:trPr>
          <w:trHeight w:val="300"/>
          <w:jc w:val="center"/>
        </w:trPr>
        <w:tc>
          <w:tcPr>
            <w:tcW w:w="2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Total assets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795,534,000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3,079,995,514 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287.2</w:t>
            </w:r>
          </w:p>
        </w:tc>
      </w:tr>
      <w:tr w:rsidR="00D7170E" w:rsidRPr="00D7170E" w:rsidTr="00D7170E">
        <w:trPr>
          <w:trHeight w:val="300"/>
          <w:jc w:val="center"/>
        </w:trPr>
        <w:tc>
          <w:tcPr>
            <w:tcW w:w="22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Total technical reserves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309,014,000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1,965,185,324 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536.0</w:t>
            </w:r>
          </w:p>
        </w:tc>
      </w:tr>
      <w:tr w:rsidR="00D7170E" w:rsidRPr="00D7170E" w:rsidTr="00D7170E">
        <w:trPr>
          <w:trHeight w:val="300"/>
          <w:jc w:val="center"/>
        </w:trPr>
        <w:tc>
          <w:tcPr>
            <w:tcW w:w="2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Total owners' equity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227,774,000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  730,051,325 </w:t>
            </w: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220.5</w:t>
            </w:r>
          </w:p>
        </w:tc>
      </w:tr>
      <w:tr w:rsidR="00D7170E" w:rsidRPr="00D7170E" w:rsidTr="004369C2">
        <w:trPr>
          <w:trHeight w:val="300"/>
          <w:jc w:val="center"/>
        </w:trPr>
        <w:tc>
          <w:tcPr>
            <w:tcW w:w="2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Paid up capital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7170E" w:rsidRPr="00D7170E" w:rsidRDefault="00D7170E" w:rsidP="00A14656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D7170E">
              <w:rPr>
                <w:rFonts w:eastAsia="Times New Roman"/>
                <w:sz w:val="16"/>
                <w:szCs w:val="16"/>
                <w:lang w:eastAsia="en-US" w:bidi="ar-SA"/>
              </w:rPr>
              <w:t>158,100,000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D7170E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7170E">
              <w:rPr>
                <w:b/>
                <w:bCs/>
                <w:sz w:val="16"/>
                <w:szCs w:val="16"/>
              </w:rPr>
              <w:t xml:space="preserve">    394,051,325 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70E" w:rsidRPr="00D7170E" w:rsidRDefault="00D7170E" w:rsidP="006B3B09">
            <w:pPr>
              <w:bidi w:val="0"/>
              <w:jc w:val="right"/>
              <w:rPr>
                <w:sz w:val="16"/>
                <w:szCs w:val="16"/>
              </w:rPr>
            </w:pPr>
            <w:r w:rsidRPr="00D7170E">
              <w:rPr>
                <w:sz w:val="16"/>
                <w:szCs w:val="16"/>
              </w:rPr>
              <w:t>149.2</w:t>
            </w:r>
          </w:p>
        </w:tc>
      </w:tr>
    </w:tbl>
    <w:p w:rsidR="008F7C7F" w:rsidRPr="00FF61F1" w:rsidRDefault="008F7C7F" w:rsidP="00D7170E">
      <w:pPr>
        <w:bidi w:val="0"/>
        <w:jc w:val="center"/>
        <w:rPr>
          <w:i/>
          <w:iCs/>
          <w:sz w:val="20"/>
          <w:szCs w:val="20"/>
        </w:rPr>
      </w:pPr>
      <w:r w:rsidRPr="00FF61F1">
        <w:rPr>
          <w:i/>
          <w:iCs/>
          <w:sz w:val="18"/>
          <w:szCs w:val="18"/>
        </w:rPr>
        <w:t xml:space="preserve">Table </w:t>
      </w:r>
      <w:r w:rsidRPr="00FF61F1">
        <w:rPr>
          <w:i/>
          <w:iCs/>
          <w:sz w:val="20"/>
          <w:szCs w:val="20"/>
        </w:rPr>
        <w:t xml:space="preserve">made by CAS based on </w:t>
      </w:r>
      <w:r w:rsidRPr="00FF61F1">
        <w:rPr>
          <w:i/>
          <w:iCs/>
          <w:sz w:val="18"/>
          <w:szCs w:val="18"/>
        </w:rPr>
        <w:t>the Ministry of Economy and Trade data (</w:t>
      </w:r>
      <w:r w:rsidR="00D7170E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D7170E" w:rsidRDefault="00D7170E" w:rsidP="00EE41A0">
      <w:pPr>
        <w:bidi w:val="0"/>
        <w:jc w:val="center"/>
        <w:rPr>
          <w:b/>
          <w:bCs/>
          <w:noProof/>
          <w:sz w:val="26"/>
          <w:szCs w:val="26"/>
        </w:rPr>
      </w:pPr>
    </w:p>
    <w:p w:rsidR="0099536F" w:rsidRDefault="0099536F" w:rsidP="0099536F">
      <w:pPr>
        <w:bidi w:val="0"/>
        <w:jc w:val="center"/>
        <w:rPr>
          <w:b/>
          <w:bCs/>
          <w:noProof/>
          <w:sz w:val="26"/>
          <w:szCs w:val="26"/>
        </w:rPr>
      </w:pPr>
    </w:p>
    <w:p w:rsidR="0099536F" w:rsidRDefault="0099536F" w:rsidP="0099536F">
      <w:pPr>
        <w:bidi w:val="0"/>
        <w:jc w:val="center"/>
        <w:rPr>
          <w:b/>
          <w:bCs/>
          <w:noProof/>
          <w:sz w:val="26"/>
          <w:szCs w:val="26"/>
        </w:rPr>
      </w:pPr>
    </w:p>
    <w:p w:rsidR="00EE41A0" w:rsidRPr="00FF61F1" w:rsidRDefault="00EE41A0" w:rsidP="00D7170E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lastRenderedPageBreak/>
        <w:t>In</w:t>
      </w:r>
      <w:r>
        <w:rPr>
          <w:b/>
          <w:bCs/>
          <w:noProof/>
          <w:sz w:val="26"/>
          <w:szCs w:val="26"/>
        </w:rPr>
        <w:t xml:space="preserve">surance sector consolidated report </w:t>
      </w:r>
      <w:r w:rsidRPr="00FF61F1">
        <w:rPr>
          <w:b/>
          <w:bCs/>
          <w:noProof/>
          <w:sz w:val="26"/>
          <w:szCs w:val="26"/>
        </w:rPr>
        <w:t>profit and loss</w:t>
      </w:r>
      <w:r>
        <w:rPr>
          <w:b/>
          <w:bCs/>
          <w:noProof/>
          <w:sz w:val="26"/>
          <w:szCs w:val="26"/>
        </w:rPr>
        <w:t xml:space="preserve"> statement (2008-2009)</w:t>
      </w:r>
    </w:p>
    <w:p w:rsidR="00EE41A0" w:rsidRPr="00FF61F1" w:rsidRDefault="00EE41A0" w:rsidP="00EE41A0">
      <w:pPr>
        <w:bidi w:val="0"/>
        <w:jc w:val="center"/>
        <w:rPr>
          <w:noProof/>
          <w:sz w:val="26"/>
          <w:szCs w:val="26"/>
        </w:rPr>
      </w:pPr>
    </w:p>
    <w:p w:rsidR="003F4317" w:rsidRDefault="00EE41A0" w:rsidP="006B3B09">
      <w:pPr>
        <w:bidi w:val="0"/>
        <w:spacing w:line="276" w:lineRule="auto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The consolidated and condensed profit and loss the insurance sector </w:t>
      </w:r>
      <w:r>
        <w:rPr>
          <w:noProof/>
          <w:sz w:val="22"/>
          <w:szCs w:val="22"/>
        </w:rPr>
        <w:t>studies five branches:</w:t>
      </w:r>
    </w:p>
    <w:p w:rsidR="0061222E" w:rsidRDefault="003F4317" w:rsidP="006B3B0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Branch I: </w:t>
      </w:r>
      <w:r w:rsidR="0061222E">
        <w:rPr>
          <w:rFonts w:asciiTheme="majorBidi" w:hAnsiTheme="majorBidi" w:cstheme="majorBidi"/>
          <w:noProof/>
        </w:rPr>
        <w:t>P</w:t>
      </w:r>
      <w:r w:rsidRPr="003F4317">
        <w:rPr>
          <w:rFonts w:asciiTheme="majorBidi" w:hAnsiTheme="majorBidi" w:cstheme="majorBidi"/>
          <w:noProof/>
        </w:rPr>
        <w:t>rotection</w:t>
      </w:r>
      <w:r>
        <w:rPr>
          <w:rFonts w:asciiTheme="majorBidi" w:hAnsiTheme="majorBidi" w:cstheme="majorBidi"/>
          <w:noProof/>
        </w:rPr>
        <w:t xml:space="preserve"> (life), p</w:t>
      </w:r>
      <w:r w:rsidRPr="003F4317">
        <w:rPr>
          <w:rFonts w:asciiTheme="majorBidi" w:hAnsiTheme="majorBidi" w:cstheme="majorBidi"/>
          <w:noProof/>
        </w:rPr>
        <w:t>rotection with savings</w:t>
      </w:r>
      <w:r>
        <w:rPr>
          <w:rFonts w:asciiTheme="majorBidi" w:hAnsiTheme="majorBidi" w:cstheme="majorBidi"/>
          <w:noProof/>
        </w:rPr>
        <w:t xml:space="preserve">, and </w:t>
      </w:r>
      <w:r w:rsidRPr="003F4317">
        <w:rPr>
          <w:rFonts w:asciiTheme="majorBidi" w:hAnsiTheme="majorBidi" w:cstheme="majorBidi"/>
          <w:noProof/>
        </w:rPr>
        <w:t xml:space="preserve">Protection w. </w:t>
      </w:r>
      <w:r w:rsidR="0061222E">
        <w:rPr>
          <w:rFonts w:asciiTheme="majorBidi" w:hAnsiTheme="majorBidi" w:cstheme="majorBidi"/>
          <w:noProof/>
        </w:rPr>
        <w:t>unit</w:t>
      </w:r>
      <w:r w:rsidRPr="003F4317">
        <w:rPr>
          <w:rFonts w:asciiTheme="majorBidi" w:hAnsiTheme="majorBidi" w:cstheme="majorBidi"/>
          <w:noProof/>
        </w:rPr>
        <w:t>-</w:t>
      </w:r>
      <w:r w:rsidR="0061222E">
        <w:rPr>
          <w:rFonts w:asciiTheme="majorBidi" w:hAnsiTheme="majorBidi" w:cstheme="majorBidi"/>
          <w:noProof/>
        </w:rPr>
        <w:t>lonked</w:t>
      </w:r>
      <w:r w:rsidRPr="003F4317">
        <w:rPr>
          <w:rFonts w:asciiTheme="majorBidi" w:hAnsiTheme="majorBidi" w:cstheme="majorBidi"/>
          <w:noProof/>
        </w:rPr>
        <w:t xml:space="preserve"> </w:t>
      </w:r>
      <w:r w:rsidR="0061222E">
        <w:rPr>
          <w:rFonts w:asciiTheme="majorBidi" w:hAnsiTheme="majorBidi" w:cstheme="majorBidi"/>
          <w:noProof/>
        </w:rPr>
        <w:t>s</w:t>
      </w:r>
      <w:r w:rsidRPr="003F4317">
        <w:rPr>
          <w:rFonts w:asciiTheme="majorBidi" w:hAnsiTheme="majorBidi" w:cstheme="majorBidi"/>
          <w:noProof/>
        </w:rPr>
        <w:t>avings</w:t>
      </w:r>
      <w:r w:rsidR="0061222E">
        <w:rPr>
          <w:rFonts w:asciiTheme="majorBidi" w:hAnsiTheme="majorBidi" w:cstheme="majorBidi"/>
          <w:noProof/>
        </w:rPr>
        <w:t>.</w:t>
      </w:r>
    </w:p>
    <w:p w:rsidR="0061222E" w:rsidRDefault="0061222E" w:rsidP="006B3B0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II: Fire.</w:t>
      </w:r>
    </w:p>
    <w:p w:rsidR="0061222E" w:rsidRDefault="0061222E" w:rsidP="006B3B0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III: Transportation.</w:t>
      </w:r>
    </w:p>
    <w:p w:rsidR="0061222E" w:rsidRDefault="0061222E" w:rsidP="006B3B0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 w:rsidRPr="0061222E">
        <w:rPr>
          <w:rFonts w:asciiTheme="majorBidi" w:hAnsiTheme="majorBidi" w:cstheme="majorBidi"/>
          <w:noProof/>
        </w:rPr>
        <w:t xml:space="preserve">Branch IV: Motor compulsory, </w:t>
      </w:r>
      <w:r>
        <w:rPr>
          <w:rFonts w:asciiTheme="majorBidi" w:hAnsiTheme="majorBidi" w:cstheme="majorBidi"/>
          <w:noProof/>
        </w:rPr>
        <w:t>m</w:t>
      </w:r>
      <w:r w:rsidRPr="0061222E">
        <w:rPr>
          <w:rFonts w:asciiTheme="majorBidi" w:hAnsiTheme="majorBidi" w:cstheme="majorBidi"/>
          <w:noProof/>
        </w:rPr>
        <w:t xml:space="preserve">otor </w:t>
      </w:r>
      <w:r>
        <w:rPr>
          <w:rFonts w:asciiTheme="majorBidi" w:hAnsiTheme="majorBidi" w:cstheme="majorBidi"/>
          <w:noProof/>
        </w:rPr>
        <w:t>n</w:t>
      </w:r>
      <w:r w:rsidRPr="0061222E">
        <w:rPr>
          <w:rFonts w:asciiTheme="majorBidi" w:hAnsiTheme="majorBidi" w:cstheme="majorBidi"/>
          <w:noProof/>
        </w:rPr>
        <w:t xml:space="preserve">on- </w:t>
      </w:r>
      <w:r>
        <w:rPr>
          <w:rFonts w:asciiTheme="majorBidi" w:hAnsiTheme="majorBidi" w:cstheme="majorBidi"/>
          <w:noProof/>
        </w:rPr>
        <w:t>c</w:t>
      </w:r>
      <w:r w:rsidRPr="0061222E">
        <w:rPr>
          <w:rFonts w:asciiTheme="majorBidi" w:hAnsiTheme="majorBidi" w:cstheme="majorBidi"/>
          <w:noProof/>
        </w:rPr>
        <w:t>ompulsory</w:t>
      </w:r>
      <w:r>
        <w:rPr>
          <w:rFonts w:asciiTheme="majorBidi" w:hAnsiTheme="majorBidi" w:cstheme="majorBidi"/>
          <w:noProof/>
        </w:rPr>
        <w:t>, health, accidents, civil liability, engineering, and miscellaneous.</w:t>
      </w:r>
    </w:p>
    <w:p w:rsidR="00453C5E" w:rsidRDefault="0061222E" w:rsidP="006B3B0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V: Credit.</w:t>
      </w:r>
    </w:p>
    <w:p w:rsidR="00F21B68" w:rsidRPr="00D7170E" w:rsidRDefault="00F21B68" w:rsidP="00D7170E">
      <w:pPr>
        <w:bidi w:val="0"/>
        <w:jc w:val="center"/>
        <w:outlineLvl w:val="0"/>
        <w:rPr>
          <w:b/>
          <w:bCs/>
          <w:sz w:val="22"/>
          <w:szCs w:val="22"/>
        </w:rPr>
      </w:pPr>
      <w:r w:rsidRPr="00D7170E">
        <w:rPr>
          <w:b/>
          <w:bCs/>
          <w:sz w:val="22"/>
          <w:szCs w:val="22"/>
        </w:rPr>
        <w:t xml:space="preserve">Table 21.2 – Insurance consolidated progress report profit and loss statement. </w:t>
      </w:r>
      <w:r w:rsidR="00D7170E">
        <w:rPr>
          <w:b/>
          <w:bCs/>
          <w:sz w:val="22"/>
          <w:szCs w:val="22"/>
        </w:rPr>
        <w:t>USD in 2010</w:t>
      </w:r>
    </w:p>
    <w:tbl>
      <w:tblPr>
        <w:tblW w:w="9641" w:type="dxa"/>
        <w:tblInd w:w="93" w:type="dxa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Look w:val="04A0"/>
      </w:tblPr>
      <w:tblGrid>
        <w:gridCol w:w="3065"/>
        <w:gridCol w:w="1123"/>
        <w:gridCol w:w="1043"/>
        <w:gridCol w:w="1043"/>
        <w:gridCol w:w="1123"/>
        <w:gridCol w:w="988"/>
        <w:gridCol w:w="1256"/>
      </w:tblGrid>
      <w:tr w:rsidR="006B3B09" w:rsidRPr="00E522B0" w:rsidTr="006B3B09">
        <w:trPr>
          <w:trHeight w:val="199"/>
        </w:trPr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Item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Branch I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Branch II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Branch III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Branch IV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jc w:val="right"/>
              <w:rPr>
                <w:rFonts w:eastAsia="Times New Roman"/>
                <w:b/>
                <w:bCs/>
                <w:spacing w:val="-2"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Branch V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FA0" w:rsidRPr="00E522B0" w:rsidRDefault="00980FA0" w:rsidP="00980FA0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E522B0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All branches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Premiums and similar revenues</w:t>
            </w:r>
          </w:p>
        </w:tc>
        <w:tc>
          <w:tcPr>
            <w:tcW w:w="112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326,049,551 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63,438,215 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31,400,664 </w:t>
            </w:r>
          </w:p>
        </w:tc>
        <w:tc>
          <w:tcPr>
            <w:tcW w:w="112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644,607,472 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4,408,553 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1,069,904,455 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Net investment income (Life and Non-Life)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58,115,896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2,766,301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1,417,121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28,898,232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161,835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91,359,385 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Net investment income / Expenses (Unit-linked)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12,173,476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12,173,476 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Claims expenses/ benefits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(78,138,458)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(21,232,570)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(26,106,951)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(411,160,996)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(1,245,758)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(537,884,733)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Change in technical reserves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(168,997,850)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56,932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(223,097)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(274,793)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(259,274)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(169,698,082)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Policyholders' dividend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(2,426,119)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(2,426,119)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Net reinsurance income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(15,568,335)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(13,973,070)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10,551,768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(18,951,985)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(309,457)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(38,251,079)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General insurance expense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(68,629,440)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(21,386,932)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(10,647,569)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(217,405,276)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(2,100,429)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(320,169,646)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Changes in reserves and adjustments items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(251,661)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(429,491)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(35,751)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(5,229,114)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(732)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(5,946,749)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Other non-insurance revenues / expense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714,068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244,296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(40,296)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1,075,151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161,121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2,154,340 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Net finance costs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1,315,151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697,689 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160,969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3,018,444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0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5,192,253 </w:t>
            </w:r>
          </w:p>
        </w:tc>
      </w:tr>
      <w:tr w:rsidR="006B3B09" w:rsidRPr="00980FA0" w:rsidTr="006B3B09">
        <w:trPr>
          <w:trHeight w:val="199"/>
        </w:trPr>
        <w:tc>
          <w:tcPr>
            <w:tcW w:w="306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B3B09" w:rsidRPr="006B3B09" w:rsidRDefault="006B3B0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>Net Income Life, Non-Life, and Unit-linked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64,356,285 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10,181,371 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6,476,861 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24,577,089 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sz w:val="16"/>
                <w:szCs w:val="16"/>
              </w:rPr>
              <w:t xml:space="preserve">815,859 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09" w:rsidRPr="006B3B09" w:rsidRDefault="006B3B0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3B0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106,407,465 </w:t>
            </w:r>
          </w:p>
        </w:tc>
      </w:tr>
    </w:tbl>
    <w:p w:rsidR="00980FA0" w:rsidRPr="00FF61F1" w:rsidRDefault="00980FA0" w:rsidP="00D7170E">
      <w:pPr>
        <w:bidi w:val="0"/>
        <w:jc w:val="center"/>
        <w:rPr>
          <w:i/>
          <w:iCs/>
          <w:sz w:val="20"/>
          <w:szCs w:val="20"/>
        </w:rPr>
      </w:pPr>
      <w:r w:rsidRPr="00FF61F1">
        <w:rPr>
          <w:i/>
          <w:iCs/>
          <w:sz w:val="18"/>
          <w:szCs w:val="18"/>
        </w:rPr>
        <w:t xml:space="preserve">Table </w:t>
      </w:r>
      <w:r w:rsidRPr="00FF61F1">
        <w:rPr>
          <w:i/>
          <w:iCs/>
          <w:sz w:val="20"/>
          <w:szCs w:val="20"/>
        </w:rPr>
        <w:t xml:space="preserve">made by CAS based on </w:t>
      </w:r>
      <w:r w:rsidRPr="00FF61F1">
        <w:rPr>
          <w:i/>
          <w:iCs/>
          <w:sz w:val="18"/>
          <w:szCs w:val="18"/>
        </w:rPr>
        <w:t xml:space="preserve">the Ministry of Economy and Trade data </w:t>
      </w:r>
      <w:r w:rsidR="00A7048D" w:rsidRPr="00E63C8D">
        <w:rPr>
          <w:i/>
          <w:iCs/>
          <w:sz w:val="18"/>
          <w:szCs w:val="18"/>
          <w:lang w:val="en-GB"/>
        </w:rPr>
        <w:t>(</w:t>
      </w:r>
      <w:r w:rsidR="00D7170E">
        <w:rPr>
          <w:i/>
          <w:iCs/>
          <w:sz w:val="18"/>
          <w:szCs w:val="18"/>
          <w:lang w:val="en-GB"/>
        </w:rPr>
        <w:t>2010</w:t>
      </w:r>
      <w:r w:rsidR="00A7048D" w:rsidRPr="00E63C8D">
        <w:rPr>
          <w:i/>
          <w:iCs/>
          <w:sz w:val="18"/>
          <w:szCs w:val="18"/>
          <w:lang w:val="en-GB"/>
        </w:rPr>
        <w:t>)</w:t>
      </w:r>
    </w:p>
    <w:p w:rsidR="00B6015A" w:rsidRDefault="00B6015A" w:rsidP="0099536F">
      <w:pPr>
        <w:bidi w:val="0"/>
        <w:spacing w:line="120" w:lineRule="auto"/>
        <w:jc w:val="both"/>
        <w:rPr>
          <w:rFonts w:asciiTheme="majorBidi" w:hAnsiTheme="majorBidi" w:cstheme="majorBidi"/>
          <w:noProof/>
        </w:rPr>
      </w:pPr>
    </w:p>
    <w:p w:rsidR="008F7C7F" w:rsidRPr="00FF61F1" w:rsidRDefault="006B3B09" w:rsidP="00EE41A0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In</w:t>
      </w:r>
      <w:r w:rsidR="008F7C7F" w:rsidRPr="00FF61F1">
        <w:rPr>
          <w:b/>
          <w:bCs/>
          <w:noProof/>
          <w:sz w:val="26"/>
          <w:szCs w:val="26"/>
        </w:rPr>
        <w:t>surance sector consolidated balance sheet</w:t>
      </w:r>
    </w:p>
    <w:p w:rsidR="008F7C7F" w:rsidRPr="00FF61F1" w:rsidRDefault="008F7C7F" w:rsidP="008F7C7F">
      <w:pPr>
        <w:bidi w:val="0"/>
        <w:jc w:val="center"/>
        <w:rPr>
          <w:noProof/>
          <w:sz w:val="26"/>
          <w:szCs w:val="26"/>
        </w:rPr>
      </w:pPr>
    </w:p>
    <w:p w:rsidR="008F7C7F" w:rsidRPr="00FF61F1" w:rsidRDefault="008F7C7F" w:rsidP="003E3E10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>Insuranc</w:t>
      </w:r>
      <w:r w:rsidR="006B3B09">
        <w:rPr>
          <w:noProof/>
          <w:sz w:val="22"/>
          <w:szCs w:val="22"/>
        </w:rPr>
        <w:t>e sector balance sheet grew of 15.1</w:t>
      </w:r>
      <w:r w:rsidRPr="00FF61F1">
        <w:rPr>
          <w:noProof/>
          <w:sz w:val="22"/>
          <w:szCs w:val="22"/>
        </w:rPr>
        <w:t xml:space="preserve">% between </w:t>
      </w:r>
      <w:r w:rsidR="006B3B09">
        <w:rPr>
          <w:noProof/>
          <w:sz w:val="22"/>
          <w:szCs w:val="22"/>
        </w:rPr>
        <w:t>2009</w:t>
      </w:r>
      <w:r w:rsidRPr="00FF61F1">
        <w:rPr>
          <w:noProof/>
          <w:sz w:val="22"/>
          <w:szCs w:val="22"/>
        </w:rPr>
        <w:t xml:space="preserve"> and </w:t>
      </w:r>
      <w:r w:rsidR="006B3B09">
        <w:rPr>
          <w:noProof/>
          <w:sz w:val="22"/>
          <w:szCs w:val="22"/>
        </w:rPr>
        <w:t>2010</w:t>
      </w:r>
      <w:r w:rsidRPr="00FF61F1">
        <w:rPr>
          <w:noProof/>
          <w:sz w:val="22"/>
          <w:szCs w:val="22"/>
        </w:rPr>
        <w:t xml:space="preserve"> to reach </w:t>
      </w:r>
      <w:r w:rsidR="006B3B09" w:rsidRPr="006B3B09">
        <w:rPr>
          <w:noProof/>
          <w:sz w:val="22"/>
          <w:szCs w:val="22"/>
        </w:rPr>
        <w:t xml:space="preserve"> </w:t>
      </w:r>
      <w:r w:rsidR="003E3E10" w:rsidRPr="00FF61F1">
        <w:rPr>
          <w:noProof/>
          <w:sz w:val="22"/>
          <w:szCs w:val="22"/>
        </w:rPr>
        <w:t>USD</w:t>
      </w:r>
      <w:r w:rsidR="003E3E10" w:rsidRPr="00A7048D">
        <w:rPr>
          <w:noProof/>
          <w:sz w:val="22"/>
          <w:szCs w:val="22"/>
        </w:rPr>
        <w:t xml:space="preserve"> </w:t>
      </w:r>
      <w:r w:rsidR="006B3B09" w:rsidRPr="006B3B09">
        <w:rPr>
          <w:noProof/>
          <w:sz w:val="22"/>
          <w:szCs w:val="22"/>
        </w:rPr>
        <w:t xml:space="preserve">3,079,995,514 </w:t>
      </w:r>
      <w:r w:rsidRPr="00FF61F1">
        <w:rPr>
          <w:noProof/>
          <w:sz w:val="22"/>
          <w:szCs w:val="22"/>
        </w:rPr>
        <w:t xml:space="preserve">in </w:t>
      </w:r>
      <w:r w:rsidR="006B3B09">
        <w:rPr>
          <w:noProof/>
          <w:sz w:val="22"/>
          <w:szCs w:val="22"/>
        </w:rPr>
        <w:t>2010</w:t>
      </w:r>
      <w:r w:rsidRPr="00FF61F1">
        <w:rPr>
          <w:noProof/>
          <w:sz w:val="22"/>
          <w:szCs w:val="22"/>
        </w:rPr>
        <w:t>.</w:t>
      </w:r>
    </w:p>
    <w:p w:rsidR="008F7C7F" w:rsidRPr="00FF61F1" w:rsidRDefault="008F7C7F" w:rsidP="008F7C7F">
      <w:pPr>
        <w:bidi w:val="0"/>
        <w:spacing w:line="288" w:lineRule="auto"/>
        <w:rPr>
          <w:noProof/>
        </w:rPr>
      </w:pPr>
    </w:p>
    <w:p w:rsidR="008F7C7F" w:rsidRPr="006B3B09" w:rsidRDefault="008F7C7F" w:rsidP="0099536F">
      <w:pPr>
        <w:bidi w:val="0"/>
        <w:spacing w:line="180" w:lineRule="auto"/>
        <w:jc w:val="center"/>
        <w:outlineLvl w:val="0"/>
        <w:rPr>
          <w:b/>
          <w:bCs/>
          <w:sz w:val="22"/>
          <w:szCs w:val="22"/>
        </w:rPr>
      </w:pPr>
      <w:bookmarkStart w:id="2" w:name="_Toc263093782"/>
      <w:r w:rsidRPr="006B3B09">
        <w:rPr>
          <w:b/>
          <w:bCs/>
          <w:sz w:val="22"/>
          <w:szCs w:val="22"/>
        </w:rPr>
        <w:t xml:space="preserve">Table </w:t>
      </w:r>
      <w:r w:rsidR="00A7048D" w:rsidRPr="006B3B09">
        <w:rPr>
          <w:b/>
          <w:bCs/>
          <w:sz w:val="22"/>
          <w:szCs w:val="22"/>
        </w:rPr>
        <w:t>21.</w:t>
      </w:r>
      <w:r w:rsidR="0099536F">
        <w:rPr>
          <w:b/>
          <w:bCs/>
          <w:sz w:val="22"/>
          <w:szCs w:val="22"/>
        </w:rPr>
        <w:t>3</w:t>
      </w:r>
      <w:r w:rsidRPr="006B3B09">
        <w:rPr>
          <w:b/>
          <w:bCs/>
          <w:sz w:val="22"/>
          <w:szCs w:val="22"/>
        </w:rPr>
        <w:t xml:space="preserve"> – Insurance consolidated progress report </w:t>
      </w:r>
      <w:r w:rsidR="00E522B0" w:rsidRPr="006B3B09">
        <w:rPr>
          <w:b/>
          <w:bCs/>
          <w:sz w:val="22"/>
          <w:szCs w:val="22"/>
        </w:rPr>
        <w:t>(</w:t>
      </w:r>
      <w:r w:rsidR="006B3B09" w:rsidRPr="006B3B09">
        <w:rPr>
          <w:b/>
          <w:bCs/>
          <w:sz w:val="22"/>
          <w:szCs w:val="22"/>
        </w:rPr>
        <w:t>2010</w:t>
      </w:r>
      <w:bookmarkEnd w:id="2"/>
      <w:r w:rsidR="00E522B0" w:rsidRPr="006B3B09">
        <w:rPr>
          <w:b/>
          <w:bCs/>
          <w:sz w:val="22"/>
          <w:szCs w:val="22"/>
        </w:rPr>
        <w:t>)</w:t>
      </w:r>
    </w:p>
    <w:tbl>
      <w:tblPr>
        <w:tblW w:w="10435" w:type="dxa"/>
        <w:jc w:val="center"/>
        <w:tblInd w:w="93" w:type="dxa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Look w:val="04A0"/>
      </w:tblPr>
      <w:tblGrid>
        <w:gridCol w:w="1820"/>
        <w:gridCol w:w="1136"/>
        <w:gridCol w:w="1136"/>
        <w:gridCol w:w="990"/>
        <w:gridCol w:w="1946"/>
        <w:gridCol w:w="1171"/>
        <w:gridCol w:w="1155"/>
        <w:gridCol w:w="1081"/>
      </w:tblGrid>
      <w:tr w:rsidR="0099536F" w:rsidRPr="0099536F" w:rsidTr="006B3B09">
        <w:trPr>
          <w:trHeight w:val="270"/>
          <w:jc w:val="center"/>
        </w:trPr>
        <w:tc>
          <w:tcPr>
            <w:tcW w:w="409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USD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Change 2010/2009. %</w:t>
            </w:r>
          </w:p>
        </w:tc>
        <w:tc>
          <w:tcPr>
            <w:tcW w:w="42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USD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Change 2010/2009. %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Consolidated assets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2009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2010</w:t>
            </w:r>
          </w:p>
        </w:tc>
        <w:tc>
          <w:tcPr>
            <w:tcW w:w="99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Consolidated liabilities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USD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9536F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Change 2010/2009. %</w:t>
            </w:r>
          </w:p>
        </w:tc>
        <w:tc>
          <w:tcPr>
            <w:tcW w:w="10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Intangible assets</w:t>
            </w:r>
          </w:p>
        </w:tc>
        <w:tc>
          <w:tcPr>
            <w:tcW w:w="113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2,571,002 </w:t>
            </w:r>
          </w:p>
        </w:tc>
        <w:tc>
          <w:tcPr>
            <w:tcW w:w="113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2,276,749</w:t>
            </w: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(11.4)</w:t>
            </w:r>
          </w:p>
        </w:tc>
        <w:tc>
          <w:tcPr>
            <w:tcW w:w="194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Shareholders' equity</w:t>
            </w:r>
          </w:p>
        </w:tc>
        <w:tc>
          <w:tcPr>
            <w:tcW w:w="117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681,688,492 </w:t>
            </w: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730,287,972 </w:t>
            </w:r>
          </w:p>
        </w:tc>
        <w:tc>
          <w:tcPr>
            <w:tcW w:w="108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7.1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Investments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1,434,855,295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1,670,194,176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16.4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Low priority debts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10,524,668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13,628,345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29.5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Unit-linked contracts investments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485,373,712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580,918,124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19.7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10,524,668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13,628,345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29.5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Reinsurance share in technical reserves (Life)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52,211,852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69,769,022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33.6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Life Technical reserves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567,956,364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668,439,075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17.7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Reinsurance share in technical reserves (Non-Life)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106,398,373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125,205,842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17.7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Unit-linked technical reserves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477,866,239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577,806,598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20.9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Receivable under insurance business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183,763,135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223,315,401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21.5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Non-Life Technical reserves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609,467,207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718,939,652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18.0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Receivable under reinsurance contracts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15,216,837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17,082,357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12.3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Provision for risks and charges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25,009,324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26,050,479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4.2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Other assets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66,187,010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68,135,103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Debt for funds held under reinsurance treaties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16,722,226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22,434,704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34.2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Other receivables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226,493,148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195,330,537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(13.8)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Liabilities under insurance business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16,483,479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20,894,752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26.8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Adjustment items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103,989,197 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    127,768,203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22.9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Liabilities under reinsurance contracts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64,900,222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76,556,799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18.0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Debts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49,278,539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35,562,371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(27.8)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Other liabilities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135,738,589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161,601,750 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19.1</w:t>
            </w:r>
          </w:p>
        </w:tc>
      </w:tr>
      <w:tr w:rsidR="0099536F" w:rsidRPr="0099536F" w:rsidTr="0099536F">
        <w:trPr>
          <w:trHeight w:val="375"/>
          <w:jc w:val="center"/>
        </w:trPr>
        <w:tc>
          <w:tcPr>
            <w:tcW w:w="182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Adjustment items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21,424,211 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 xml:space="preserve">27,792,974 </w:t>
            </w:r>
          </w:p>
        </w:tc>
        <w:tc>
          <w:tcPr>
            <w:tcW w:w="108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sz w:val="16"/>
                <w:szCs w:val="16"/>
              </w:rPr>
              <w:t>29.7</w:t>
            </w:r>
          </w:p>
        </w:tc>
      </w:tr>
      <w:tr w:rsidR="0099536F" w:rsidRPr="0099536F" w:rsidTr="006B3B09">
        <w:trPr>
          <w:trHeight w:val="375"/>
          <w:jc w:val="center"/>
        </w:trPr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assets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2,677,059,561 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3,079,995,514 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15.1%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liabilities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2,677,059,559 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3,079,995,471 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536F" w:rsidRPr="0099536F" w:rsidRDefault="0099536F" w:rsidP="0099536F">
            <w:pPr>
              <w:bidi w:val="0"/>
              <w:spacing w:line="235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9536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15.1%</w:t>
            </w:r>
          </w:p>
        </w:tc>
      </w:tr>
    </w:tbl>
    <w:p w:rsidR="008F7C7F" w:rsidRPr="00FF61F1" w:rsidRDefault="008F7C7F" w:rsidP="006B3B09">
      <w:pPr>
        <w:bidi w:val="0"/>
        <w:jc w:val="center"/>
        <w:rPr>
          <w:i/>
          <w:iCs/>
          <w:sz w:val="20"/>
          <w:szCs w:val="20"/>
        </w:rPr>
      </w:pPr>
      <w:r w:rsidRPr="00FF61F1">
        <w:rPr>
          <w:i/>
          <w:iCs/>
          <w:sz w:val="18"/>
          <w:szCs w:val="18"/>
        </w:rPr>
        <w:t xml:space="preserve">Table </w:t>
      </w:r>
      <w:r w:rsidRPr="00FF61F1">
        <w:rPr>
          <w:i/>
          <w:iCs/>
          <w:sz w:val="20"/>
          <w:szCs w:val="20"/>
        </w:rPr>
        <w:t xml:space="preserve">made by CAS based on </w:t>
      </w:r>
      <w:r w:rsidRPr="00FF61F1">
        <w:rPr>
          <w:i/>
          <w:iCs/>
          <w:sz w:val="18"/>
          <w:szCs w:val="18"/>
        </w:rPr>
        <w:t>the Ministry of Economy and Trade data (</w:t>
      </w:r>
      <w:r w:rsidR="006B3B09">
        <w:rPr>
          <w:i/>
          <w:iCs/>
          <w:sz w:val="18"/>
          <w:szCs w:val="18"/>
        </w:rPr>
        <w:t>2010</w:t>
      </w:r>
      <w:r w:rsidR="009362D5">
        <w:rPr>
          <w:i/>
          <w:iCs/>
          <w:sz w:val="18"/>
          <w:szCs w:val="18"/>
        </w:rPr>
        <w:t>)</w:t>
      </w:r>
    </w:p>
    <w:p w:rsidR="008F7C7F" w:rsidRPr="00FF61F1" w:rsidRDefault="00E522B0" w:rsidP="00E522B0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Taxation on insurance</w:t>
      </w:r>
      <w:r w:rsidR="008F7C7F" w:rsidRPr="00FF61F1">
        <w:rPr>
          <w:b/>
          <w:bCs/>
          <w:noProof/>
          <w:sz w:val="26"/>
          <w:szCs w:val="26"/>
        </w:rPr>
        <w:t xml:space="preserve"> </w:t>
      </w:r>
      <w:r>
        <w:rPr>
          <w:b/>
          <w:bCs/>
          <w:noProof/>
          <w:sz w:val="26"/>
          <w:szCs w:val="26"/>
        </w:rPr>
        <w:t>by branch</w:t>
      </w:r>
    </w:p>
    <w:p w:rsidR="008F7C7F" w:rsidRPr="00FF61F1" w:rsidRDefault="008F7C7F" w:rsidP="008F7C7F">
      <w:pPr>
        <w:bidi w:val="0"/>
        <w:jc w:val="center"/>
        <w:rPr>
          <w:noProof/>
          <w:sz w:val="26"/>
          <w:szCs w:val="26"/>
        </w:rPr>
      </w:pPr>
    </w:p>
    <w:p w:rsidR="00E522B0" w:rsidRDefault="00E522B0" w:rsidP="0099536F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Taxation is based on gross written premiums, on ceded premiums and on fixed stamps. This taxation is applied on </w:t>
      </w:r>
      <w:r>
        <w:rPr>
          <w:noProof/>
          <w:sz w:val="22"/>
          <w:szCs w:val="22"/>
        </w:rPr>
        <w:t>the five insurance branches</w:t>
      </w:r>
      <w:r w:rsidRPr="00FF61F1">
        <w:rPr>
          <w:noProof/>
          <w:sz w:val="22"/>
          <w:szCs w:val="22"/>
        </w:rPr>
        <w:t>.</w:t>
      </w:r>
    </w:p>
    <w:p w:rsidR="00C22F3D" w:rsidRDefault="00C22F3D" w:rsidP="0099536F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I: P</w:t>
      </w:r>
      <w:r w:rsidRPr="003F4317">
        <w:rPr>
          <w:rFonts w:asciiTheme="majorBidi" w:hAnsiTheme="majorBidi" w:cstheme="majorBidi"/>
          <w:noProof/>
        </w:rPr>
        <w:t>rotection</w:t>
      </w:r>
      <w:r>
        <w:rPr>
          <w:rFonts w:asciiTheme="majorBidi" w:hAnsiTheme="majorBidi" w:cstheme="majorBidi"/>
          <w:noProof/>
        </w:rPr>
        <w:t xml:space="preserve"> (life), p</w:t>
      </w:r>
      <w:r w:rsidRPr="003F4317">
        <w:rPr>
          <w:rFonts w:asciiTheme="majorBidi" w:hAnsiTheme="majorBidi" w:cstheme="majorBidi"/>
          <w:noProof/>
        </w:rPr>
        <w:t>rotection with savings</w:t>
      </w:r>
      <w:r>
        <w:rPr>
          <w:rFonts w:asciiTheme="majorBidi" w:hAnsiTheme="majorBidi" w:cstheme="majorBidi"/>
          <w:noProof/>
        </w:rPr>
        <w:t xml:space="preserve">, and </w:t>
      </w:r>
      <w:r w:rsidRPr="003F4317">
        <w:rPr>
          <w:rFonts w:asciiTheme="majorBidi" w:hAnsiTheme="majorBidi" w:cstheme="majorBidi"/>
          <w:noProof/>
        </w:rPr>
        <w:t xml:space="preserve">Protection w. </w:t>
      </w:r>
      <w:r>
        <w:rPr>
          <w:rFonts w:asciiTheme="majorBidi" w:hAnsiTheme="majorBidi" w:cstheme="majorBidi"/>
          <w:noProof/>
        </w:rPr>
        <w:t>unit</w:t>
      </w:r>
      <w:r w:rsidRPr="003F4317">
        <w:rPr>
          <w:rFonts w:asciiTheme="majorBidi" w:hAnsiTheme="majorBidi" w:cstheme="majorBidi"/>
          <w:noProof/>
        </w:rPr>
        <w:t>-</w:t>
      </w:r>
      <w:r>
        <w:rPr>
          <w:rFonts w:asciiTheme="majorBidi" w:hAnsiTheme="majorBidi" w:cstheme="majorBidi"/>
          <w:noProof/>
        </w:rPr>
        <w:t>lonked</w:t>
      </w:r>
      <w:r w:rsidRPr="003F4317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s</w:t>
      </w:r>
      <w:r w:rsidRPr="003F4317">
        <w:rPr>
          <w:rFonts w:asciiTheme="majorBidi" w:hAnsiTheme="majorBidi" w:cstheme="majorBidi"/>
          <w:noProof/>
        </w:rPr>
        <w:t>avings</w:t>
      </w:r>
      <w:r>
        <w:rPr>
          <w:rFonts w:asciiTheme="majorBidi" w:hAnsiTheme="majorBidi" w:cstheme="majorBidi"/>
          <w:noProof/>
        </w:rPr>
        <w:t>.</w:t>
      </w:r>
    </w:p>
    <w:p w:rsidR="00C22F3D" w:rsidRDefault="00C22F3D" w:rsidP="0099536F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II: Fire.</w:t>
      </w:r>
    </w:p>
    <w:p w:rsidR="00C22F3D" w:rsidRDefault="00C22F3D" w:rsidP="0099536F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III: Transportation.</w:t>
      </w:r>
    </w:p>
    <w:p w:rsidR="00C22F3D" w:rsidRDefault="00C22F3D" w:rsidP="0099536F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61222E">
        <w:rPr>
          <w:rFonts w:asciiTheme="majorBidi" w:hAnsiTheme="majorBidi" w:cstheme="majorBidi"/>
          <w:noProof/>
        </w:rPr>
        <w:t xml:space="preserve">Branch IV: Motor compulsory, </w:t>
      </w:r>
      <w:r>
        <w:rPr>
          <w:rFonts w:asciiTheme="majorBidi" w:hAnsiTheme="majorBidi" w:cstheme="majorBidi"/>
          <w:noProof/>
        </w:rPr>
        <w:t>m</w:t>
      </w:r>
      <w:r w:rsidRPr="0061222E">
        <w:rPr>
          <w:rFonts w:asciiTheme="majorBidi" w:hAnsiTheme="majorBidi" w:cstheme="majorBidi"/>
          <w:noProof/>
        </w:rPr>
        <w:t xml:space="preserve">otor </w:t>
      </w:r>
      <w:r>
        <w:rPr>
          <w:rFonts w:asciiTheme="majorBidi" w:hAnsiTheme="majorBidi" w:cstheme="majorBidi"/>
          <w:noProof/>
        </w:rPr>
        <w:t>n</w:t>
      </w:r>
      <w:r w:rsidRPr="0061222E">
        <w:rPr>
          <w:rFonts w:asciiTheme="majorBidi" w:hAnsiTheme="majorBidi" w:cstheme="majorBidi"/>
          <w:noProof/>
        </w:rPr>
        <w:t xml:space="preserve">on- </w:t>
      </w:r>
      <w:r>
        <w:rPr>
          <w:rFonts w:asciiTheme="majorBidi" w:hAnsiTheme="majorBidi" w:cstheme="majorBidi"/>
          <w:noProof/>
        </w:rPr>
        <w:t>c</w:t>
      </w:r>
      <w:r w:rsidRPr="0061222E">
        <w:rPr>
          <w:rFonts w:asciiTheme="majorBidi" w:hAnsiTheme="majorBidi" w:cstheme="majorBidi"/>
          <w:noProof/>
        </w:rPr>
        <w:t>ompulsory</w:t>
      </w:r>
      <w:r>
        <w:rPr>
          <w:rFonts w:asciiTheme="majorBidi" w:hAnsiTheme="majorBidi" w:cstheme="majorBidi"/>
          <w:noProof/>
        </w:rPr>
        <w:t>, health, accidents, civil liability, engineering, and miscellaneous.</w:t>
      </w:r>
    </w:p>
    <w:p w:rsidR="00C22F3D" w:rsidRDefault="00C22F3D" w:rsidP="0099536F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Branch V: Credit.</w:t>
      </w:r>
    </w:p>
    <w:p w:rsidR="00C22F3D" w:rsidRDefault="00C22F3D" w:rsidP="00C22F3D">
      <w:pPr>
        <w:bidi w:val="0"/>
        <w:jc w:val="both"/>
        <w:rPr>
          <w:noProof/>
          <w:sz w:val="22"/>
          <w:szCs w:val="22"/>
        </w:rPr>
      </w:pPr>
    </w:p>
    <w:p w:rsidR="008F7C7F" w:rsidRDefault="008F7C7F" w:rsidP="00312898">
      <w:pPr>
        <w:bidi w:val="0"/>
        <w:jc w:val="center"/>
        <w:outlineLvl w:val="0"/>
        <w:rPr>
          <w:b/>
          <w:bCs/>
          <w:sz w:val="22"/>
          <w:szCs w:val="22"/>
        </w:rPr>
      </w:pPr>
      <w:bookmarkStart w:id="3" w:name="_Toc263093784"/>
      <w:r w:rsidRPr="0099536F">
        <w:rPr>
          <w:b/>
          <w:bCs/>
          <w:sz w:val="22"/>
          <w:szCs w:val="22"/>
        </w:rPr>
        <w:t xml:space="preserve">Table </w:t>
      </w:r>
      <w:r w:rsidR="00E522B0" w:rsidRPr="0099536F">
        <w:rPr>
          <w:b/>
          <w:bCs/>
          <w:sz w:val="22"/>
          <w:szCs w:val="22"/>
        </w:rPr>
        <w:t>21.</w:t>
      </w:r>
      <w:r w:rsidR="0099536F" w:rsidRPr="0099536F">
        <w:rPr>
          <w:b/>
          <w:bCs/>
          <w:sz w:val="22"/>
          <w:szCs w:val="22"/>
        </w:rPr>
        <w:t>4</w:t>
      </w:r>
      <w:r w:rsidRPr="0099536F">
        <w:rPr>
          <w:b/>
          <w:bCs/>
          <w:sz w:val="22"/>
          <w:szCs w:val="22"/>
        </w:rPr>
        <w:t xml:space="preserve"> – </w:t>
      </w:r>
      <w:bookmarkEnd w:id="3"/>
      <w:r w:rsidR="00E522B0" w:rsidRPr="0099536F">
        <w:rPr>
          <w:b/>
          <w:bCs/>
          <w:sz w:val="22"/>
          <w:szCs w:val="22"/>
        </w:rPr>
        <w:t>Taxati</w:t>
      </w:r>
      <w:r w:rsidR="00312898">
        <w:rPr>
          <w:b/>
          <w:bCs/>
          <w:sz w:val="22"/>
          <w:szCs w:val="22"/>
        </w:rPr>
        <w:t>on on insurance by branch (2010</w:t>
      </w:r>
      <w:r w:rsidR="00E522B0" w:rsidRPr="0099536F">
        <w:rPr>
          <w:b/>
          <w:bCs/>
          <w:sz w:val="22"/>
          <w:szCs w:val="22"/>
        </w:rPr>
        <w:t>)</w:t>
      </w:r>
    </w:p>
    <w:tbl>
      <w:tblPr>
        <w:tblW w:w="10006" w:type="dxa"/>
        <w:jc w:val="center"/>
        <w:tblInd w:w="755" w:type="dxa"/>
        <w:tblLook w:val="04A0"/>
      </w:tblPr>
      <w:tblGrid>
        <w:gridCol w:w="2582"/>
        <w:gridCol w:w="1016"/>
        <w:gridCol w:w="1016"/>
        <w:gridCol w:w="1420"/>
        <w:gridCol w:w="936"/>
        <w:gridCol w:w="940"/>
        <w:gridCol w:w="960"/>
        <w:gridCol w:w="1136"/>
      </w:tblGrid>
      <w:tr w:rsidR="00312898" w:rsidRPr="00312898" w:rsidTr="00892950">
        <w:trPr>
          <w:trHeight w:val="27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42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Bases, rates, and estimated amounts in USD</w:t>
            </w:r>
          </w:p>
        </w:tc>
      </w:tr>
      <w:tr w:rsidR="00312898" w:rsidRPr="00312898" w:rsidTr="00892950">
        <w:trPr>
          <w:trHeight w:val="27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Branch I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Branch IV (Accidents)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Branch II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Branch III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Branch VI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</w:t>
            </w:r>
          </w:p>
        </w:tc>
      </w:tr>
      <w:tr w:rsidR="00312898" w:rsidRPr="00312898" w:rsidTr="00892950">
        <w:trPr>
          <w:trHeight w:val="27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Life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Medical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Motors + others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Fire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Marine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Credits</w:t>
            </w:r>
          </w:p>
        </w:tc>
        <w:tc>
          <w:tcPr>
            <w:tcW w:w="113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312898" w:rsidRPr="00312898" w:rsidTr="00892950">
        <w:trPr>
          <w:trHeight w:val="270"/>
          <w:jc w:val="center"/>
        </w:trPr>
        <w:tc>
          <w:tcPr>
            <w:tcW w:w="1000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Based on gross written premiums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Proportional stamps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0%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3%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 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Municipal tax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0%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6%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6%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6%</w:t>
            </w:r>
          </w:p>
        </w:tc>
        <w:tc>
          <w:tcPr>
            <w:tcW w:w="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6%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6%</w:t>
            </w:r>
          </w:p>
        </w:tc>
        <w:tc>
          <w:tcPr>
            <w:tcW w:w="11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Income tax (15% of)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0.75%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0.75%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0.90%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1.80%</w:t>
            </w:r>
          </w:p>
        </w:tc>
        <w:tc>
          <w:tcPr>
            <w:tcW w:w="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1.05%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1.50%</w:t>
            </w:r>
          </w:p>
        </w:tc>
        <w:tc>
          <w:tcPr>
            <w:tcW w:w="11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ICC Control fees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0.2%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0.2%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0.2%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0.2%</w:t>
            </w:r>
          </w:p>
        </w:tc>
        <w:tc>
          <w:tcPr>
            <w:tcW w:w="9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0.2%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0.2%</w:t>
            </w:r>
          </w:p>
        </w:tc>
        <w:tc>
          <w:tcPr>
            <w:tcW w:w="113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 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 % on gross written premiums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0.95%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11.95%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12.10%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13.00%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10.25%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12.70%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8.47%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Gross written premiums 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342,099,657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291,349,851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411,177,271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65,282,198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31,420,495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4,359,842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1,145,689,314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Paid on gross written premiums 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3,249,947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34,816,307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49,752,450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8,486,686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3,220,601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553,700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100,079,690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1000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Based on ceded premiums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Income tax (15% of 15%)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2.25%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2.25%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2.25%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2.25%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2.25%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2.25%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2.25%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Premiums ceded (foreign) in 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46,927,940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44,953,897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35,058,405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38,080,627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14,954,805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1,948,292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181,923,966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Tax paid on ceded premiums 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1,055,879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1,011,463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788,814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856,814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336,483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43,837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4,093,289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1000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Fixed stamps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LBP 2000 per policy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1.33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1.33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1.33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1.33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1.33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1.33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1.33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Number of policies 2010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826,015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105,320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1,916,499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133,840</w:t>
            </w:r>
          </w:p>
        </w:tc>
        <w:tc>
          <w:tcPr>
            <w:tcW w:w="9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73,296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60</w:t>
            </w:r>
          </w:p>
        </w:tc>
        <w:tc>
          <w:tcPr>
            <w:tcW w:w="113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3,055,030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Fixed stamps amount 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1,098,600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140,076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2,548,944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178,007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97,484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80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4,063,190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 taxes and stamps imposed 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5,404,425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35,967,845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53,090,208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9,521,507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3,654,568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597,616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108,236,169</w:t>
            </w:r>
          </w:p>
        </w:tc>
      </w:tr>
      <w:tr w:rsidR="00312898" w:rsidRPr="00312898" w:rsidTr="00892950">
        <w:trPr>
          <w:trHeight w:val="300"/>
          <w:jc w:val="center"/>
        </w:trPr>
        <w:tc>
          <w:tcPr>
            <w:tcW w:w="2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% of gross written premiums 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1.58%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12.35%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12.91%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14.59%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11.63%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13.71%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98" w:rsidRPr="00312898" w:rsidRDefault="00312898" w:rsidP="00312898">
            <w:pPr>
              <w:bidi w:val="0"/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31289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9.45%</w:t>
            </w:r>
          </w:p>
        </w:tc>
      </w:tr>
    </w:tbl>
    <w:p w:rsidR="008F7C7F" w:rsidRPr="00FF61F1" w:rsidRDefault="008F7C7F" w:rsidP="00312898">
      <w:pPr>
        <w:bidi w:val="0"/>
        <w:jc w:val="center"/>
        <w:rPr>
          <w:i/>
          <w:iCs/>
          <w:sz w:val="20"/>
          <w:szCs w:val="20"/>
        </w:rPr>
      </w:pPr>
      <w:r w:rsidRPr="00FF61F1">
        <w:rPr>
          <w:i/>
          <w:iCs/>
          <w:sz w:val="18"/>
          <w:szCs w:val="18"/>
        </w:rPr>
        <w:t xml:space="preserve">Table </w:t>
      </w:r>
      <w:r w:rsidRPr="00FF61F1">
        <w:rPr>
          <w:i/>
          <w:iCs/>
          <w:sz w:val="20"/>
          <w:szCs w:val="20"/>
        </w:rPr>
        <w:t xml:space="preserve">made by CAS based on </w:t>
      </w:r>
      <w:r w:rsidRPr="00FF61F1">
        <w:rPr>
          <w:i/>
          <w:iCs/>
          <w:sz w:val="18"/>
          <w:szCs w:val="18"/>
        </w:rPr>
        <w:t>the Ministry of Economy and Trade data (</w:t>
      </w:r>
      <w:r w:rsidR="00312898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8F7C7F" w:rsidRPr="00FF61F1" w:rsidRDefault="008F7C7F" w:rsidP="008F7C7F">
      <w:pPr>
        <w:bidi w:val="0"/>
        <w:jc w:val="both"/>
        <w:rPr>
          <w:noProof/>
          <w:sz w:val="22"/>
          <w:szCs w:val="22"/>
        </w:rPr>
      </w:pPr>
    </w:p>
    <w:p w:rsidR="00E465A3" w:rsidRDefault="00E465A3" w:rsidP="00E465A3">
      <w:pPr>
        <w:bidi w:val="0"/>
        <w:rPr>
          <w:noProof/>
        </w:rPr>
      </w:pPr>
    </w:p>
    <w:p w:rsidR="006321A1" w:rsidRDefault="006321A1" w:rsidP="00F72363">
      <w:pPr>
        <w:bidi w:val="0"/>
        <w:jc w:val="center"/>
        <w:rPr>
          <w:b/>
          <w:bCs/>
          <w:noProof/>
          <w:sz w:val="26"/>
          <w:szCs w:val="26"/>
        </w:rPr>
      </w:pPr>
      <w:r w:rsidRPr="00F72363">
        <w:rPr>
          <w:b/>
          <w:bCs/>
          <w:noProof/>
          <w:sz w:val="26"/>
          <w:szCs w:val="26"/>
        </w:rPr>
        <w:t>Life vs. Non-life condensed Profit and Loss</w:t>
      </w:r>
      <w:r w:rsidR="007460CB">
        <w:rPr>
          <w:b/>
          <w:bCs/>
          <w:noProof/>
          <w:sz w:val="26"/>
          <w:szCs w:val="26"/>
        </w:rPr>
        <w:t xml:space="preserve"> by branch</w:t>
      </w:r>
    </w:p>
    <w:p w:rsidR="001013E2" w:rsidRDefault="001013E2" w:rsidP="00F72363">
      <w:pPr>
        <w:bidi w:val="0"/>
        <w:jc w:val="both"/>
        <w:rPr>
          <w:noProof/>
          <w:sz w:val="22"/>
          <w:szCs w:val="22"/>
        </w:rPr>
      </w:pPr>
    </w:p>
    <w:p w:rsidR="006321A1" w:rsidRPr="00993C82" w:rsidRDefault="00F72363" w:rsidP="00312898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Net income after tax in all branches </w:t>
      </w:r>
      <w:r w:rsidR="00312898">
        <w:rPr>
          <w:noProof/>
          <w:sz w:val="22"/>
          <w:szCs w:val="22"/>
        </w:rPr>
        <w:t xml:space="preserve">is equal to USD </w:t>
      </w:r>
      <w:r w:rsidR="00312898" w:rsidRPr="00312898">
        <w:rPr>
          <w:noProof/>
          <w:sz w:val="22"/>
          <w:szCs w:val="22"/>
        </w:rPr>
        <w:t>88,713,975</w:t>
      </w:r>
      <w:r w:rsidR="007D6E12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in </w:t>
      </w:r>
      <w:r w:rsidR="00312898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>.</w:t>
      </w:r>
    </w:p>
    <w:p w:rsidR="006321A1" w:rsidRDefault="006321A1" w:rsidP="006321A1">
      <w:pPr>
        <w:bidi w:val="0"/>
        <w:jc w:val="both"/>
        <w:rPr>
          <w:b/>
          <w:bCs/>
          <w:noProof/>
          <w:sz w:val="22"/>
          <w:szCs w:val="22"/>
        </w:rPr>
      </w:pPr>
    </w:p>
    <w:p w:rsidR="006F62B3" w:rsidRDefault="006F62B3" w:rsidP="006F62B3">
      <w:pPr>
        <w:bidi w:val="0"/>
        <w:jc w:val="both"/>
        <w:rPr>
          <w:b/>
          <w:bCs/>
          <w:noProof/>
          <w:sz w:val="22"/>
          <w:szCs w:val="22"/>
        </w:rPr>
      </w:pPr>
    </w:p>
    <w:p w:rsidR="006F62B3" w:rsidRDefault="006F62B3" w:rsidP="006F62B3">
      <w:pPr>
        <w:bidi w:val="0"/>
        <w:jc w:val="both"/>
        <w:rPr>
          <w:b/>
          <w:bCs/>
          <w:noProof/>
          <w:sz w:val="22"/>
          <w:szCs w:val="22"/>
        </w:rPr>
      </w:pPr>
    </w:p>
    <w:p w:rsidR="006F62B3" w:rsidRDefault="006F62B3" w:rsidP="006F62B3">
      <w:pPr>
        <w:bidi w:val="0"/>
        <w:jc w:val="both"/>
        <w:rPr>
          <w:b/>
          <w:bCs/>
          <w:noProof/>
          <w:sz w:val="22"/>
          <w:szCs w:val="22"/>
        </w:rPr>
      </w:pPr>
    </w:p>
    <w:p w:rsidR="006F62B3" w:rsidRDefault="006F62B3" w:rsidP="006F62B3">
      <w:pPr>
        <w:bidi w:val="0"/>
        <w:jc w:val="both"/>
        <w:rPr>
          <w:b/>
          <w:bCs/>
          <w:noProof/>
          <w:sz w:val="22"/>
          <w:szCs w:val="22"/>
        </w:rPr>
      </w:pPr>
    </w:p>
    <w:p w:rsidR="006F62B3" w:rsidRPr="006321A1" w:rsidRDefault="006F62B3" w:rsidP="006F62B3">
      <w:pPr>
        <w:bidi w:val="0"/>
        <w:jc w:val="both"/>
        <w:rPr>
          <w:b/>
          <w:bCs/>
          <w:noProof/>
          <w:sz w:val="22"/>
          <w:szCs w:val="22"/>
        </w:rPr>
      </w:pPr>
    </w:p>
    <w:p w:rsidR="006F62B3" w:rsidRDefault="006F62B3" w:rsidP="003E3E10">
      <w:pPr>
        <w:bidi w:val="0"/>
        <w:jc w:val="center"/>
        <w:rPr>
          <w:b/>
          <w:bCs/>
          <w:sz w:val="22"/>
          <w:szCs w:val="22"/>
        </w:rPr>
        <w:sectPr w:rsidR="006F62B3" w:rsidSect="009B23C4">
          <w:footerReference w:type="even" r:id="rId10"/>
          <w:footerReference w:type="default" r:id="rId11"/>
          <w:pgSz w:w="11906" w:h="16838" w:code="9"/>
          <w:pgMar w:top="1138" w:right="1138" w:bottom="1138" w:left="1138" w:header="720" w:footer="720" w:gutter="0"/>
          <w:cols w:space="720"/>
          <w:bidi/>
          <w:rtlGutter/>
          <w:docGrid w:linePitch="360"/>
        </w:sectPr>
      </w:pPr>
    </w:p>
    <w:p w:rsidR="00F72363" w:rsidRPr="003E3E10" w:rsidRDefault="00F72363" w:rsidP="00FB15E8">
      <w:pPr>
        <w:bidi w:val="0"/>
        <w:jc w:val="center"/>
        <w:rPr>
          <w:b/>
          <w:bCs/>
          <w:noProof/>
          <w:sz w:val="22"/>
          <w:szCs w:val="22"/>
        </w:rPr>
      </w:pPr>
      <w:r w:rsidRPr="003E3E10">
        <w:rPr>
          <w:b/>
          <w:bCs/>
          <w:sz w:val="22"/>
          <w:szCs w:val="22"/>
        </w:rPr>
        <w:lastRenderedPageBreak/>
        <w:t>Table 21.</w:t>
      </w:r>
      <w:r w:rsidR="00FB15E8">
        <w:rPr>
          <w:b/>
          <w:bCs/>
          <w:sz w:val="22"/>
          <w:szCs w:val="22"/>
        </w:rPr>
        <w:t>5</w:t>
      </w:r>
      <w:r w:rsidRPr="003E3E10">
        <w:rPr>
          <w:b/>
          <w:bCs/>
          <w:sz w:val="22"/>
          <w:szCs w:val="22"/>
        </w:rPr>
        <w:t xml:space="preserve"> – </w:t>
      </w:r>
      <w:r w:rsidR="00312898" w:rsidRPr="003E3E10">
        <w:rPr>
          <w:b/>
          <w:bCs/>
          <w:noProof/>
          <w:sz w:val="22"/>
          <w:szCs w:val="22"/>
        </w:rPr>
        <w:t>Consolidated and condensed profit and loss by branch</w:t>
      </w:r>
      <w:r w:rsidR="003E3E10" w:rsidRPr="003E3E10">
        <w:rPr>
          <w:b/>
          <w:bCs/>
          <w:noProof/>
          <w:sz w:val="22"/>
          <w:szCs w:val="22"/>
        </w:rPr>
        <w:t>. USD in 2010</w:t>
      </w:r>
    </w:p>
    <w:tbl>
      <w:tblPr>
        <w:tblW w:w="15120" w:type="dxa"/>
        <w:jc w:val="center"/>
        <w:tblLook w:val="04A0"/>
      </w:tblPr>
      <w:tblGrid>
        <w:gridCol w:w="1702"/>
        <w:gridCol w:w="1060"/>
        <w:gridCol w:w="1060"/>
        <w:gridCol w:w="1060"/>
        <w:gridCol w:w="1043"/>
        <w:gridCol w:w="1265"/>
        <w:gridCol w:w="1061"/>
        <w:gridCol w:w="1123"/>
        <w:gridCol w:w="1123"/>
        <w:gridCol w:w="1043"/>
        <w:gridCol w:w="1240"/>
        <w:gridCol w:w="1140"/>
        <w:gridCol w:w="1200"/>
      </w:tblGrid>
      <w:tr w:rsidR="006F62B3" w:rsidRPr="006F62B3" w:rsidTr="006F62B3">
        <w:trPr>
          <w:trHeight w:val="855"/>
          <w:jc w:val="center"/>
        </w:trPr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 Protection Life Only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Life with Savings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Life Prot.with Savings &amp;/ U-L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Fire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Transportation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Motor Compulsory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Motor Non-Compulsory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Health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Accidents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Miscellaneous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Others (Eng. Credit, CL)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Total</w:t>
            </w:r>
          </w:p>
        </w:tc>
      </w:tr>
      <w:tr w:rsidR="006F62B3" w:rsidRPr="006F62B3" w:rsidTr="006F62B3">
        <w:trPr>
          <w:trHeight w:val="690"/>
          <w:jc w:val="center"/>
        </w:trPr>
        <w:tc>
          <w:tcPr>
            <w:tcW w:w="17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1 Gross Written premiums (Incl. accepted)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108,555,648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113,738,723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113,747,491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69,216,938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32,696,780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44,766,042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266,736,605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296,644,049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59,611,136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24,544,567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21,564,540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1,151,822,519 </w:t>
            </w:r>
          </w:p>
        </w:tc>
      </w:tr>
      <w:tr w:rsidR="006F62B3" w:rsidRPr="006F62B3" w:rsidTr="006F62B3">
        <w:trPr>
          <w:trHeight w:val="270"/>
          <w:jc w:val="center"/>
        </w:trPr>
        <w:tc>
          <w:tcPr>
            <w:tcW w:w="172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2 Ceded Premiums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(46,642,156)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(5,311,259)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(2,565,941)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(43,844,723)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(16,618,680)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(650,066)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(12,118,781)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(57,677,787)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(11,039,108)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(10,722,733)</w:t>
            </w:r>
          </w:p>
        </w:tc>
        <w:tc>
          <w:tcPr>
            <w:tcW w:w="11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(9,482,141)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(216,673,374)</w:t>
            </w:r>
          </w:p>
        </w:tc>
      </w:tr>
      <w:tr w:rsidR="006F62B3" w:rsidRPr="006F62B3" w:rsidTr="006F62B3">
        <w:trPr>
          <w:trHeight w:val="270"/>
          <w:jc w:val="center"/>
        </w:trPr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3 Claims paid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(19,868,256)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(37,229,763)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(19,761,380)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(15,522,410)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(22,119,328)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(10,085,463)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(141,149,705)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(202,103,282)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(22,313,701)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(8,629,460)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(4,770,519)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(503,553,266)</w:t>
            </w:r>
          </w:p>
        </w:tc>
      </w:tr>
      <w:tr w:rsidR="006F62B3" w:rsidRPr="006F62B3" w:rsidTr="006F62B3">
        <w:trPr>
          <w:trHeight w:val="465"/>
          <w:jc w:val="center"/>
        </w:trPr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4 Benefits paid by Reinsurers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9,348,856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2,410,230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318,552 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13,357,601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19,479,224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563,291 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5,121,108 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48,297,171 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2,453,135 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5,877,204 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2,248,889 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110,026,867 </w:t>
            </w:r>
          </w:p>
        </w:tc>
      </w:tr>
      <w:tr w:rsidR="006F62B3" w:rsidRPr="006F62B3" w:rsidTr="006F62B3">
        <w:trPr>
          <w:trHeight w:val="690"/>
          <w:jc w:val="center"/>
        </w:trPr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5 Change in Technical &amp; other reserves * 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(14,585,965)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(58,102,336)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(91,550,892)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(3,350,792)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(1,087,203)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(5,568,906)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(41,839,323)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(16,646,327)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(2,424,666)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(1,292,508)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(1,091,484)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(238,092,008)</w:t>
            </w:r>
          </w:p>
        </w:tc>
      </w:tr>
      <w:tr w:rsidR="006F62B3" w:rsidRPr="006F62B3" w:rsidTr="006F62B3">
        <w:trPr>
          <w:trHeight w:val="465"/>
          <w:jc w:val="center"/>
        </w:trPr>
        <w:tc>
          <w:tcPr>
            <w:tcW w:w="1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6 Brokerage &amp; Aquisition costs paid 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(14,605,510)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(8,751,607)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(13,186,378)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(12,305,548)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(5,784,250)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(17,291,758)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(68,143,216)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(29,791,046)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(16,490,425)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(5,135,719)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(3,696,020)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(195,181,477)</w:t>
            </w:r>
          </w:p>
        </w:tc>
      </w:tr>
      <w:tr w:rsidR="006F62B3" w:rsidRPr="006F62B3" w:rsidTr="006F62B3">
        <w:trPr>
          <w:trHeight w:val="465"/>
          <w:jc w:val="center"/>
        </w:trPr>
        <w:tc>
          <w:tcPr>
            <w:tcW w:w="17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7 Commissions Paid by Reinsurers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9,320,882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964,953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596,723 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8,562,577 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3,402,334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0 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1,546,488 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3,128,478 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3,106,651 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1,542,087 </w:t>
            </w: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1,584,563 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33,755,736 </w:t>
            </w:r>
          </w:p>
        </w:tc>
      </w:tr>
      <w:tr w:rsidR="006F62B3" w:rsidRPr="006F62B3" w:rsidTr="006F62B3">
        <w:trPr>
          <w:trHeight w:val="435"/>
          <w:jc w:val="center"/>
        </w:trPr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 8 Gross Insurance Profits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31,523,500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7,718,940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(12,401,825)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16,113,643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9,968,878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11,733,140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10,153,175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41,851,256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12,903,022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6,183,438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6,357,827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142,104,996 </w:t>
            </w:r>
          </w:p>
        </w:tc>
      </w:tr>
      <w:tr w:rsidR="006F62B3" w:rsidRPr="006F62B3" w:rsidTr="006F62B3">
        <w:trPr>
          <w:trHeight w:val="465"/>
          <w:jc w:val="center"/>
        </w:trPr>
        <w:tc>
          <w:tcPr>
            <w:tcW w:w="17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9 Net Investment &amp; Other Income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15,767,776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31,075,687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23,049,012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3,708,286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1,537,794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2,583,842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15,130,501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9,847,846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3,218,764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1,315,782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1,218,051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108,453,339 </w:t>
            </w:r>
          </w:p>
        </w:tc>
      </w:tr>
      <w:tr w:rsidR="006F62B3" w:rsidRPr="006F62B3" w:rsidTr="006F62B3">
        <w:trPr>
          <w:trHeight w:val="465"/>
          <w:jc w:val="center"/>
        </w:trPr>
        <w:tc>
          <w:tcPr>
            <w:tcW w:w="1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10 Fixed Expenses and Overheads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(12,655,276)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(11,240,711)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(8,480,818)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(9,640,558)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(5,029,811)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(7,450,518)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(36,081,088)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(36,591,048)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(8,906,333)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(3,996,712)</w:t>
            </w: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(4,077,998)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(144,150,870)</w:t>
            </w:r>
          </w:p>
        </w:tc>
      </w:tr>
      <w:tr w:rsidR="006F62B3" w:rsidRPr="006F62B3" w:rsidTr="006F62B3">
        <w:trPr>
          <w:trHeight w:val="270"/>
          <w:jc w:val="center"/>
        </w:trPr>
        <w:tc>
          <w:tcPr>
            <w:tcW w:w="17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 xml:space="preserve"> 11 Income tax 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(1,830,053)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(1,306,180)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(3,548,305)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(1,586,142)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(558,483)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(432,185)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(3,051,959)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(3,190,317)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(1,374,284)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(466,176)</w:t>
            </w: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(349,406)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sz w:val="16"/>
                <w:szCs w:val="16"/>
                <w:lang w:eastAsia="en-US" w:bidi="ar-SA"/>
              </w:rPr>
              <w:t>(17,693,489)</w:t>
            </w:r>
          </w:p>
        </w:tc>
      </w:tr>
      <w:tr w:rsidR="006F62B3" w:rsidRPr="006F62B3" w:rsidTr="006F62B3">
        <w:trPr>
          <w:trHeight w:val="420"/>
          <w:jc w:val="center"/>
        </w:trPr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F62B3" w:rsidRPr="006F62B3" w:rsidRDefault="006F62B3" w:rsidP="006F62B3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 12 Net Income After Tax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32,805,946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26,247,736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(1,381,936)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8,595,230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5,918,378 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6,434,279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(13,849,371)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11,917,737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5,841,169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3,036,333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3,148,475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B3" w:rsidRPr="006F62B3" w:rsidRDefault="006F62B3" w:rsidP="006F62B3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6F62B3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 xml:space="preserve">88,713,975 </w:t>
            </w:r>
          </w:p>
        </w:tc>
      </w:tr>
    </w:tbl>
    <w:p w:rsidR="00357235" w:rsidRPr="00FF61F1" w:rsidRDefault="00357235" w:rsidP="00312898">
      <w:pPr>
        <w:bidi w:val="0"/>
        <w:jc w:val="center"/>
        <w:rPr>
          <w:i/>
          <w:iCs/>
          <w:sz w:val="20"/>
          <w:szCs w:val="20"/>
        </w:rPr>
      </w:pPr>
      <w:r w:rsidRPr="00FF61F1">
        <w:rPr>
          <w:i/>
          <w:iCs/>
          <w:sz w:val="18"/>
          <w:szCs w:val="18"/>
        </w:rPr>
        <w:t xml:space="preserve">Table </w:t>
      </w:r>
      <w:r w:rsidRPr="00FF61F1">
        <w:rPr>
          <w:i/>
          <w:iCs/>
          <w:sz w:val="20"/>
          <w:szCs w:val="20"/>
        </w:rPr>
        <w:t xml:space="preserve">made by CAS based on </w:t>
      </w:r>
      <w:r w:rsidRPr="00FF61F1">
        <w:rPr>
          <w:i/>
          <w:iCs/>
          <w:sz w:val="18"/>
          <w:szCs w:val="18"/>
        </w:rPr>
        <w:t>the Ministry of Economy and Trade data (</w:t>
      </w:r>
      <w:r w:rsidR="00312898">
        <w:rPr>
          <w:i/>
          <w:iCs/>
          <w:sz w:val="18"/>
          <w:szCs w:val="18"/>
        </w:rPr>
        <w:t>2010)</w:t>
      </w:r>
    </w:p>
    <w:p w:rsidR="006321A1" w:rsidRPr="006321A1" w:rsidRDefault="006321A1" w:rsidP="006321A1">
      <w:pPr>
        <w:bidi w:val="0"/>
        <w:jc w:val="both"/>
        <w:rPr>
          <w:b/>
          <w:bCs/>
          <w:noProof/>
          <w:sz w:val="22"/>
          <w:szCs w:val="22"/>
        </w:rPr>
      </w:pPr>
    </w:p>
    <w:p w:rsidR="006321A1" w:rsidRPr="006321A1" w:rsidRDefault="006321A1" w:rsidP="006321A1">
      <w:pPr>
        <w:bidi w:val="0"/>
        <w:jc w:val="both"/>
        <w:rPr>
          <w:b/>
          <w:bCs/>
          <w:noProof/>
          <w:sz w:val="22"/>
          <w:szCs w:val="22"/>
        </w:rPr>
      </w:pPr>
    </w:p>
    <w:p w:rsidR="006321A1" w:rsidRDefault="006321A1" w:rsidP="006321A1">
      <w:pPr>
        <w:bidi w:val="0"/>
        <w:jc w:val="both"/>
        <w:rPr>
          <w:b/>
          <w:bCs/>
          <w:noProof/>
          <w:sz w:val="22"/>
          <w:szCs w:val="22"/>
        </w:rPr>
      </w:pPr>
    </w:p>
    <w:p w:rsidR="00F72363" w:rsidRDefault="00F72363" w:rsidP="00F72363">
      <w:pPr>
        <w:bidi w:val="0"/>
        <w:jc w:val="both"/>
        <w:rPr>
          <w:b/>
          <w:bCs/>
          <w:noProof/>
          <w:sz w:val="22"/>
          <w:szCs w:val="22"/>
        </w:rPr>
      </w:pPr>
    </w:p>
    <w:sectPr w:rsidR="00F72363" w:rsidSect="006F62B3">
      <w:pgSz w:w="16838" w:h="11906" w:orient="landscape" w:code="9"/>
      <w:pgMar w:top="1138" w:right="1138" w:bottom="1138" w:left="113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34" w:rsidRDefault="00196034">
      <w:r>
        <w:separator/>
      </w:r>
    </w:p>
  </w:endnote>
  <w:endnote w:type="continuationSeparator" w:id="1">
    <w:p w:rsidR="00196034" w:rsidRDefault="0019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10" w:rsidRDefault="0037596F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E3E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E3E10" w:rsidRDefault="003E3E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56133"/>
      <w:docPartObj>
        <w:docPartGallery w:val="Page Numbers (Bottom of Page)"/>
        <w:docPartUnique/>
      </w:docPartObj>
    </w:sdtPr>
    <w:sdtContent>
      <w:p w:rsidR="003E3E10" w:rsidRDefault="0037596F">
        <w:pPr>
          <w:pStyle w:val="Footer"/>
          <w:jc w:val="center"/>
        </w:pPr>
        <w:fldSimple w:instr=" PAGE   \* MERGEFORMAT ">
          <w:r w:rsidR="00FB15E8">
            <w:rPr>
              <w:noProof/>
              <w:rtl/>
            </w:rPr>
            <w:t>4</w:t>
          </w:r>
        </w:fldSimple>
      </w:p>
    </w:sdtContent>
  </w:sdt>
  <w:p w:rsidR="003E3E10" w:rsidRDefault="003E3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34" w:rsidRDefault="00196034">
      <w:r>
        <w:separator/>
      </w:r>
    </w:p>
  </w:footnote>
  <w:footnote w:type="continuationSeparator" w:id="1">
    <w:p w:rsidR="00196034" w:rsidRDefault="00196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B54DA"/>
    <w:multiLevelType w:val="hybridMultilevel"/>
    <w:tmpl w:val="0B285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9"/>
  </w:num>
  <w:num w:numId="4">
    <w:abstractNumId w:val="4"/>
  </w:num>
  <w:num w:numId="5">
    <w:abstractNumId w:val="12"/>
  </w:num>
  <w:num w:numId="6">
    <w:abstractNumId w:val="14"/>
  </w:num>
  <w:num w:numId="7">
    <w:abstractNumId w:val="34"/>
  </w:num>
  <w:num w:numId="8">
    <w:abstractNumId w:val="36"/>
  </w:num>
  <w:num w:numId="9">
    <w:abstractNumId w:val="31"/>
  </w:num>
  <w:num w:numId="10">
    <w:abstractNumId w:val="0"/>
  </w:num>
  <w:num w:numId="11">
    <w:abstractNumId w:val="17"/>
  </w:num>
  <w:num w:numId="12">
    <w:abstractNumId w:val="48"/>
  </w:num>
  <w:num w:numId="13">
    <w:abstractNumId w:val="10"/>
  </w:num>
  <w:num w:numId="14">
    <w:abstractNumId w:val="35"/>
  </w:num>
  <w:num w:numId="15">
    <w:abstractNumId w:val="27"/>
  </w:num>
  <w:num w:numId="16">
    <w:abstractNumId w:val="41"/>
  </w:num>
  <w:num w:numId="17">
    <w:abstractNumId w:val="15"/>
  </w:num>
  <w:num w:numId="18">
    <w:abstractNumId w:val="52"/>
  </w:num>
  <w:num w:numId="19">
    <w:abstractNumId w:val="11"/>
  </w:num>
  <w:num w:numId="20">
    <w:abstractNumId w:val="37"/>
  </w:num>
  <w:num w:numId="21">
    <w:abstractNumId w:val="9"/>
  </w:num>
  <w:num w:numId="22">
    <w:abstractNumId w:val="51"/>
  </w:num>
  <w:num w:numId="23">
    <w:abstractNumId w:val="22"/>
  </w:num>
  <w:num w:numId="24">
    <w:abstractNumId w:val="21"/>
  </w:num>
  <w:num w:numId="25">
    <w:abstractNumId w:val="19"/>
  </w:num>
  <w:num w:numId="26">
    <w:abstractNumId w:val="47"/>
  </w:num>
  <w:num w:numId="27">
    <w:abstractNumId w:val="30"/>
  </w:num>
  <w:num w:numId="28">
    <w:abstractNumId w:val="23"/>
  </w:num>
  <w:num w:numId="29">
    <w:abstractNumId w:val="24"/>
  </w:num>
  <w:num w:numId="30">
    <w:abstractNumId w:val="38"/>
  </w:num>
  <w:num w:numId="31">
    <w:abstractNumId w:val="2"/>
  </w:num>
  <w:num w:numId="32">
    <w:abstractNumId w:val="28"/>
  </w:num>
  <w:num w:numId="33">
    <w:abstractNumId w:val="44"/>
  </w:num>
  <w:num w:numId="34">
    <w:abstractNumId w:val="16"/>
  </w:num>
  <w:num w:numId="35">
    <w:abstractNumId w:val="18"/>
  </w:num>
  <w:num w:numId="36">
    <w:abstractNumId w:val="5"/>
  </w:num>
  <w:num w:numId="37">
    <w:abstractNumId w:val="33"/>
  </w:num>
  <w:num w:numId="38">
    <w:abstractNumId w:val="50"/>
  </w:num>
  <w:num w:numId="39">
    <w:abstractNumId w:val="26"/>
  </w:num>
  <w:num w:numId="40">
    <w:abstractNumId w:val="53"/>
  </w:num>
  <w:num w:numId="41">
    <w:abstractNumId w:val="13"/>
  </w:num>
  <w:num w:numId="42">
    <w:abstractNumId w:val="45"/>
  </w:num>
  <w:num w:numId="43">
    <w:abstractNumId w:val="40"/>
  </w:num>
  <w:num w:numId="44">
    <w:abstractNumId w:val="32"/>
  </w:num>
  <w:num w:numId="45">
    <w:abstractNumId w:val="49"/>
  </w:num>
  <w:num w:numId="46">
    <w:abstractNumId w:val="43"/>
  </w:num>
  <w:num w:numId="47">
    <w:abstractNumId w:val="6"/>
  </w:num>
  <w:num w:numId="48">
    <w:abstractNumId w:val="29"/>
  </w:num>
  <w:num w:numId="49">
    <w:abstractNumId w:val="25"/>
  </w:num>
  <w:num w:numId="50">
    <w:abstractNumId w:val="3"/>
  </w:num>
  <w:num w:numId="51">
    <w:abstractNumId w:val="42"/>
  </w:num>
  <w:num w:numId="52">
    <w:abstractNumId w:val="46"/>
  </w:num>
  <w:num w:numId="53">
    <w:abstractNumId w:val="1"/>
  </w:num>
  <w:num w:numId="54">
    <w:abstractNumId w:val="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10CF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825"/>
    <w:rsid w:val="000429F0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19D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13E2"/>
    <w:rsid w:val="001045A0"/>
    <w:rsid w:val="00110CB5"/>
    <w:rsid w:val="0011401B"/>
    <w:rsid w:val="001164A8"/>
    <w:rsid w:val="00116CFD"/>
    <w:rsid w:val="00117CED"/>
    <w:rsid w:val="00117FA4"/>
    <w:rsid w:val="001208F8"/>
    <w:rsid w:val="0012136F"/>
    <w:rsid w:val="0012249D"/>
    <w:rsid w:val="00123993"/>
    <w:rsid w:val="001255A1"/>
    <w:rsid w:val="00126287"/>
    <w:rsid w:val="001267B6"/>
    <w:rsid w:val="00126DC8"/>
    <w:rsid w:val="00127058"/>
    <w:rsid w:val="00130634"/>
    <w:rsid w:val="00130C45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013A"/>
    <w:rsid w:val="00171816"/>
    <w:rsid w:val="00172D58"/>
    <w:rsid w:val="00175BDA"/>
    <w:rsid w:val="00177D6A"/>
    <w:rsid w:val="00180EBC"/>
    <w:rsid w:val="00184033"/>
    <w:rsid w:val="0018558F"/>
    <w:rsid w:val="00186CBD"/>
    <w:rsid w:val="0019185A"/>
    <w:rsid w:val="00192BA4"/>
    <w:rsid w:val="00193AD8"/>
    <w:rsid w:val="00193AEA"/>
    <w:rsid w:val="001948D2"/>
    <w:rsid w:val="00196034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C69F6"/>
    <w:rsid w:val="001D0989"/>
    <w:rsid w:val="001D1185"/>
    <w:rsid w:val="001D390F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1DB8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4D31"/>
    <w:rsid w:val="0028723A"/>
    <w:rsid w:val="00287641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5488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2898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235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596F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61FC"/>
    <w:rsid w:val="003C663C"/>
    <w:rsid w:val="003C6857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C98"/>
    <w:rsid w:val="003E29C6"/>
    <w:rsid w:val="003E359D"/>
    <w:rsid w:val="003E3E10"/>
    <w:rsid w:val="003E523C"/>
    <w:rsid w:val="003E5548"/>
    <w:rsid w:val="003E6A5A"/>
    <w:rsid w:val="003E715A"/>
    <w:rsid w:val="003E756E"/>
    <w:rsid w:val="003F06A8"/>
    <w:rsid w:val="003F2BDB"/>
    <w:rsid w:val="003F377A"/>
    <w:rsid w:val="003F4317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69C2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3C5E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46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5C8A"/>
    <w:rsid w:val="004D6110"/>
    <w:rsid w:val="004D72A2"/>
    <w:rsid w:val="004D73E8"/>
    <w:rsid w:val="004D7421"/>
    <w:rsid w:val="004E036C"/>
    <w:rsid w:val="004E1928"/>
    <w:rsid w:val="004E248C"/>
    <w:rsid w:val="004E3359"/>
    <w:rsid w:val="004E369C"/>
    <w:rsid w:val="004F3311"/>
    <w:rsid w:val="004F35AE"/>
    <w:rsid w:val="004F3626"/>
    <w:rsid w:val="004F3AAB"/>
    <w:rsid w:val="004F3D00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4DD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22E"/>
    <w:rsid w:val="00612829"/>
    <w:rsid w:val="00612CB4"/>
    <w:rsid w:val="00621282"/>
    <w:rsid w:val="006214A6"/>
    <w:rsid w:val="006225D9"/>
    <w:rsid w:val="006247EF"/>
    <w:rsid w:val="00627860"/>
    <w:rsid w:val="006321A1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5FE3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B3B09"/>
    <w:rsid w:val="006C037C"/>
    <w:rsid w:val="006C18C2"/>
    <w:rsid w:val="006C29C6"/>
    <w:rsid w:val="006C2CCC"/>
    <w:rsid w:val="006C5E05"/>
    <w:rsid w:val="006C6547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62B3"/>
    <w:rsid w:val="007000CC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0CB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1D5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6E12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4A"/>
    <w:rsid w:val="007F26B5"/>
    <w:rsid w:val="007F44D8"/>
    <w:rsid w:val="007F4572"/>
    <w:rsid w:val="007F5CB6"/>
    <w:rsid w:val="007F5E9A"/>
    <w:rsid w:val="007F75A9"/>
    <w:rsid w:val="008007F9"/>
    <w:rsid w:val="00802F3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950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04F9"/>
    <w:rsid w:val="008B2F75"/>
    <w:rsid w:val="008B3A2F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4FDB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2D5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5206C"/>
    <w:rsid w:val="0095219B"/>
    <w:rsid w:val="00952662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658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A0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3C82"/>
    <w:rsid w:val="0099523D"/>
    <w:rsid w:val="0099536F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0D7D"/>
    <w:rsid w:val="009B1B87"/>
    <w:rsid w:val="009B1CE4"/>
    <w:rsid w:val="009B23C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1026"/>
    <w:rsid w:val="009E2413"/>
    <w:rsid w:val="009E4A37"/>
    <w:rsid w:val="009E5866"/>
    <w:rsid w:val="009E7A04"/>
    <w:rsid w:val="009F03EE"/>
    <w:rsid w:val="009F3242"/>
    <w:rsid w:val="009F398D"/>
    <w:rsid w:val="009F42FA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4656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699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48D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152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5E07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15A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5ABB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3CC2"/>
    <w:rsid w:val="00BC4913"/>
    <w:rsid w:val="00BC6918"/>
    <w:rsid w:val="00BD035B"/>
    <w:rsid w:val="00BD059D"/>
    <w:rsid w:val="00BD0E84"/>
    <w:rsid w:val="00BD1513"/>
    <w:rsid w:val="00BD3083"/>
    <w:rsid w:val="00BD31B5"/>
    <w:rsid w:val="00BD3941"/>
    <w:rsid w:val="00BD4479"/>
    <w:rsid w:val="00BD4B4E"/>
    <w:rsid w:val="00BD4C89"/>
    <w:rsid w:val="00BD55BF"/>
    <w:rsid w:val="00BD75E2"/>
    <w:rsid w:val="00BD7AAC"/>
    <w:rsid w:val="00BD7F33"/>
    <w:rsid w:val="00BE0505"/>
    <w:rsid w:val="00BE18E7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2F3D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5B9A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15D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6B17"/>
    <w:rsid w:val="00CC751B"/>
    <w:rsid w:val="00CC7BC3"/>
    <w:rsid w:val="00CD01E3"/>
    <w:rsid w:val="00CD056E"/>
    <w:rsid w:val="00CD0A20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48B9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70E"/>
    <w:rsid w:val="00D71C09"/>
    <w:rsid w:val="00D720B1"/>
    <w:rsid w:val="00D74A95"/>
    <w:rsid w:val="00D75D2F"/>
    <w:rsid w:val="00D75FBB"/>
    <w:rsid w:val="00D7632B"/>
    <w:rsid w:val="00D76AFA"/>
    <w:rsid w:val="00D76B85"/>
    <w:rsid w:val="00D81A35"/>
    <w:rsid w:val="00D81F3C"/>
    <w:rsid w:val="00D84CAC"/>
    <w:rsid w:val="00D8640C"/>
    <w:rsid w:val="00D92475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427D"/>
    <w:rsid w:val="00DB6839"/>
    <w:rsid w:val="00DB6DAF"/>
    <w:rsid w:val="00DC25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1560"/>
    <w:rsid w:val="00DE56BA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2C1F"/>
    <w:rsid w:val="00E43079"/>
    <w:rsid w:val="00E430D3"/>
    <w:rsid w:val="00E44A41"/>
    <w:rsid w:val="00E4587A"/>
    <w:rsid w:val="00E46146"/>
    <w:rsid w:val="00E461F6"/>
    <w:rsid w:val="00E465A3"/>
    <w:rsid w:val="00E5132A"/>
    <w:rsid w:val="00E5203E"/>
    <w:rsid w:val="00E522B0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67F98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9645A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B7F04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1A0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1B68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292"/>
    <w:rsid w:val="00F32C8D"/>
    <w:rsid w:val="00F3649C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4DA0"/>
    <w:rsid w:val="00F66203"/>
    <w:rsid w:val="00F66574"/>
    <w:rsid w:val="00F676E9"/>
    <w:rsid w:val="00F70925"/>
    <w:rsid w:val="00F71CCE"/>
    <w:rsid w:val="00F72363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15E8"/>
    <w:rsid w:val="00FB3B87"/>
    <w:rsid w:val="00FB41F1"/>
    <w:rsid w:val="00FB64DC"/>
    <w:rsid w:val="00FB76CE"/>
    <w:rsid w:val="00FB77F2"/>
    <w:rsid w:val="00FB7DAB"/>
    <w:rsid w:val="00FC0054"/>
    <w:rsid w:val="00FC1082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49</cp:revision>
  <cp:lastPrinted>2010-06-01T06:06:00Z</cp:lastPrinted>
  <dcterms:created xsi:type="dcterms:W3CDTF">2010-07-02T09:49:00Z</dcterms:created>
  <dcterms:modified xsi:type="dcterms:W3CDTF">2013-10-17T19:24:00Z</dcterms:modified>
</cp:coreProperties>
</file>