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FC" w:rsidRPr="005E209B" w:rsidRDefault="004433D7" w:rsidP="005E209B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9"/>
      <w:r>
        <w:rPr>
          <w:rFonts w:asciiTheme="majorBidi" w:hAnsiTheme="majorBidi"/>
          <w:color w:val="auto"/>
          <w:sz w:val="36"/>
          <w:szCs w:val="36"/>
        </w:rPr>
        <w:t>20</w:t>
      </w:r>
      <w:r w:rsidR="00667CFC" w:rsidRPr="005E209B">
        <w:rPr>
          <w:rFonts w:asciiTheme="majorBidi" w:hAnsiTheme="majorBidi"/>
          <w:color w:val="auto"/>
          <w:sz w:val="36"/>
          <w:szCs w:val="36"/>
        </w:rPr>
        <w:t>. HEALTH</w:t>
      </w:r>
      <w:bookmarkEnd w:id="0"/>
    </w:p>
    <w:p w:rsidR="00667CFC" w:rsidRPr="00FF61F1" w:rsidRDefault="00667CFC" w:rsidP="00667CFC">
      <w:pPr>
        <w:bidi w:val="0"/>
        <w:jc w:val="both"/>
      </w:pPr>
    </w:p>
    <w:p w:rsidR="00667CFC" w:rsidRPr="00FF61F1" w:rsidRDefault="00D15F99" w:rsidP="00667CFC">
      <w:pPr>
        <w:bidi w:val="0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67" type="#_x0000_t202" style="position:absolute;margin-left:-3.55pt;margin-top:0;width:480.55pt;height:32.25pt;z-index:2519613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867">
              <w:txbxContent>
                <w:p w:rsidR="00105935" w:rsidRPr="004433D7" w:rsidRDefault="00105935" w:rsidP="00CE50CC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4433D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Health deals with private hospitals statistics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, </w:t>
                  </w:r>
                  <w:r w:rsidRPr="004433D7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Ministry of Public Health</w:t>
                  </w:r>
                  <w:r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 (MOPH) subsidized hospital admissions, HIV/AIDS, immunization, disease cases reported to MOPH, morbidity indicators, and MOPH budget.</w:t>
                  </w:r>
                </w:p>
              </w:txbxContent>
            </v:textbox>
            <w10:wrap anchorx="page"/>
          </v:shape>
        </w:pict>
      </w:r>
    </w:p>
    <w:p w:rsidR="00667CFC" w:rsidRPr="00FF61F1" w:rsidRDefault="00667CFC" w:rsidP="00667CFC">
      <w:pPr>
        <w:bidi w:val="0"/>
      </w:pPr>
    </w:p>
    <w:p w:rsidR="00667CFC" w:rsidRPr="00FF61F1" w:rsidRDefault="00667CFC" w:rsidP="00667CFC">
      <w:pPr>
        <w:bidi w:val="0"/>
        <w:jc w:val="center"/>
        <w:rPr>
          <w:b/>
          <w:bCs/>
          <w:noProof/>
          <w:sz w:val="16"/>
          <w:szCs w:val="16"/>
        </w:rPr>
      </w:pPr>
    </w:p>
    <w:p w:rsidR="00667CFC" w:rsidRDefault="00667CFC" w:rsidP="00667CFC">
      <w:pPr>
        <w:bidi w:val="0"/>
        <w:jc w:val="center"/>
        <w:rPr>
          <w:b/>
          <w:bCs/>
          <w:noProof/>
          <w:sz w:val="16"/>
          <w:szCs w:val="16"/>
        </w:rPr>
      </w:pPr>
    </w:p>
    <w:p w:rsidR="00B21E61" w:rsidRPr="00FF61F1" w:rsidRDefault="00B21E61" w:rsidP="00B21E61">
      <w:pPr>
        <w:bidi w:val="0"/>
        <w:jc w:val="center"/>
        <w:rPr>
          <w:b/>
          <w:bCs/>
          <w:noProof/>
          <w:sz w:val="16"/>
          <w:szCs w:val="16"/>
        </w:rPr>
      </w:pPr>
    </w:p>
    <w:p w:rsidR="00667CFC" w:rsidRPr="007345BD" w:rsidRDefault="007345BD" w:rsidP="00DB19D8">
      <w:pPr>
        <w:bidi w:val="0"/>
        <w:rPr>
          <w:noProof/>
          <w:sz w:val="22"/>
          <w:szCs w:val="22"/>
        </w:rPr>
      </w:pPr>
      <w:r w:rsidRPr="007345BD">
        <w:rPr>
          <w:noProof/>
          <w:sz w:val="22"/>
          <w:szCs w:val="22"/>
        </w:rPr>
        <w:t xml:space="preserve">Health in </w:t>
      </w:r>
      <w:r w:rsidR="00DB19D8">
        <w:rPr>
          <w:noProof/>
          <w:sz w:val="22"/>
          <w:szCs w:val="22"/>
        </w:rPr>
        <w:t>2010</w:t>
      </w:r>
      <w:r w:rsidRPr="007345BD">
        <w:rPr>
          <w:noProof/>
          <w:sz w:val="22"/>
          <w:szCs w:val="22"/>
        </w:rPr>
        <w:t>:</w:t>
      </w:r>
    </w:p>
    <w:p w:rsidR="00DB19D8" w:rsidRDefault="00DB19D8" w:rsidP="00247F5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Total hospitals: 162.</w:t>
      </w:r>
    </w:p>
    <w:p w:rsidR="007345BD" w:rsidRDefault="007345BD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Private hospitals: </w:t>
      </w:r>
      <w:r w:rsidR="00DB19D8">
        <w:rPr>
          <w:rFonts w:asciiTheme="majorBidi" w:hAnsiTheme="majorBidi" w:cstheme="majorBidi"/>
          <w:noProof/>
        </w:rPr>
        <w:t xml:space="preserve">85.2% of total </w:t>
      </w:r>
      <w:r>
        <w:rPr>
          <w:rFonts w:asciiTheme="majorBidi" w:hAnsiTheme="majorBidi" w:cstheme="majorBidi"/>
          <w:noProof/>
        </w:rPr>
        <w:t>hospitals.</w:t>
      </w:r>
    </w:p>
    <w:p w:rsidR="00DB19D8" w:rsidRDefault="00DB19D8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Public hospitals: 14.8% of total hospitals.</w:t>
      </w:r>
    </w:p>
    <w:p w:rsidR="007345BD" w:rsidRDefault="00DB19D8" w:rsidP="00DB19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Admissions in hospitals: 229</w:t>
      </w:r>
      <w:r w:rsidR="007345BD">
        <w:rPr>
          <w:rFonts w:asciiTheme="majorBidi" w:hAnsiTheme="majorBidi" w:cstheme="majorBidi"/>
          <w:noProof/>
        </w:rPr>
        <w:t>,</w:t>
      </w:r>
      <w:r>
        <w:rPr>
          <w:rFonts w:asciiTheme="majorBidi" w:hAnsiTheme="majorBidi" w:cstheme="majorBidi"/>
          <w:noProof/>
        </w:rPr>
        <w:t>529</w:t>
      </w:r>
      <w:r w:rsidR="007345BD">
        <w:rPr>
          <w:rFonts w:asciiTheme="majorBidi" w:hAnsiTheme="majorBidi" w:cstheme="majorBidi"/>
          <w:noProof/>
        </w:rPr>
        <w:t xml:space="preserve"> admissions.</w:t>
      </w:r>
    </w:p>
    <w:p w:rsidR="00DB19D8" w:rsidRDefault="00DB19D8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Private hospitals: 70.8% of total admissions.</w:t>
      </w:r>
    </w:p>
    <w:p w:rsidR="00DB19D8" w:rsidRDefault="00DB19D8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Public hospitals: 29.2% of total admissions.</w:t>
      </w:r>
    </w:p>
    <w:p w:rsidR="007345BD" w:rsidRDefault="007345BD" w:rsidP="00247F5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</w:rPr>
      </w:pPr>
      <w:r w:rsidRPr="007345BD">
        <w:rPr>
          <w:rFonts w:asciiTheme="majorBidi" w:hAnsiTheme="majorBidi" w:cstheme="majorBidi"/>
          <w:noProof/>
        </w:rPr>
        <w:t>HIV/AIDS incidence in Lebanon</w:t>
      </w:r>
      <w:r>
        <w:rPr>
          <w:rFonts w:asciiTheme="majorBidi" w:hAnsiTheme="majorBidi" w:cstheme="majorBidi"/>
          <w:noProof/>
        </w:rPr>
        <w:t>:</w:t>
      </w:r>
    </w:p>
    <w:p w:rsidR="007345BD" w:rsidRDefault="007345BD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Till </w:t>
      </w:r>
      <w:r w:rsidR="00DB19D8">
        <w:rPr>
          <w:rFonts w:asciiTheme="majorBidi" w:hAnsiTheme="majorBidi" w:cstheme="majorBidi"/>
          <w:noProof/>
        </w:rPr>
        <w:t>November 2010</w:t>
      </w:r>
      <w:r>
        <w:rPr>
          <w:rFonts w:asciiTheme="majorBidi" w:hAnsiTheme="majorBidi" w:cstheme="majorBidi"/>
          <w:noProof/>
        </w:rPr>
        <w:t>: 1,271 cases.</w:t>
      </w:r>
    </w:p>
    <w:p w:rsidR="007345BD" w:rsidRDefault="007B5C9B" w:rsidP="00247F5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</w:rPr>
      </w:pPr>
      <w:r w:rsidRPr="007B5C9B">
        <w:rPr>
          <w:rFonts w:asciiTheme="majorBidi" w:hAnsiTheme="majorBidi" w:cstheme="majorBidi"/>
          <w:noProof/>
        </w:rPr>
        <w:t>Routine immunization coverage rates by caza</w:t>
      </w:r>
      <w:r>
        <w:rPr>
          <w:rFonts w:asciiTheme="majorBidi" w:hAnsiTheme="majorBidi" w:cstheme="majorBidi"/>
          <w:noProof/>
        </w:rPr>
        <w:t>:</w:t>
      </w:r>
    </w:p>
    <w:p w:rsidR="007B5C9B" w:rsidRDefault="007B5C9B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7B5C9B">
        <w:rPr>
          <w:rFonts w:asciiTheme="majorBidi" w:hAnsiTheme="majorBidi" w:cstheme="majorBidi"/>
          <w:noProof/>
        </w:rPr>
        <w:t>OPV3</w:t>
      </w:r>
      <w:r>
        <w:rPr>
          <w:rFonts w:asciiTheme="majorBidi" w:hAnsiTheme="majorBidi" w:cstheme="majorBidi"/>
          <w:noProof/>
        </w:rPr>
        <w:t>: 9</w:t>
      </w:r>
      <w:r w:rsidR="00DB19D8">
        <w:rPr>
          <w:rFonts w:asciiTheme="majorBidi" w:hAnsiTheme="majorBidi" w:cstheme="majorBidi"/>
          <w:noProof/>
        </w:rPr>
        <w:t>4</w:t>
      </w:r>
      <w:r>
        <w:rPr>
          <w:rFonts w:asciiTheme="majorBidi" w:hAnsiTheme="majorBidi" w:cstheme="majorBidi"/>
          <w:noProof/>
        </w:rPr>
        <w:t>.0%.</w:t>
      </w:r>
    </w:p>
    <w:p w:rsidR="007B5C9B" w:rsidRDefault="00DB19D8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DB19D8">
        <w:rPr>
          <w:rFonts w:asciiTheme="majorBidi" w:hAnsiTheme="majorBidi" w:cstheme="majorBidi"/>
          <w:noProof/>
        </w:rPr>
        <w:t>Population hospitalized among eligible population by Caza</w:t>
      </w:r>
      <w:r w:rsidR="007B5C9B">
        <w:rPr>
          <w:rFonts w:asciiTheme="majorBidi" w:hAnsiTheme="majorBidi" w:cstheme="majorBidi"/>
          <w:noProof/>
        </w:rPr>
        <w:t xml:space="preserve">: </w:t>
      </w:r>
      <w:r>
        <w:rPr>
          <w:rFonts w:asciiTheme="majorBidi" w:hAnsiTheme="majorBidi" w:cstheme="majorBidi"/>
          <w:noProof/>
        </w:rPr>
        <w:t>8</w:t>
      </w:r>
      <w:r w:rsidR="007B5C9B">
        <w:rPr>
          <w:rFonts w:asciiTheme="majorBidi" w:hAnsiTheme="majorBidi" w:cstheme="majorBidi"/>
          <w:noProof/>
        </w:rPr>
        <w:t>.0%.</w:t>
      </w:r>
    </w:p>
    <w:p w:rsidR="007B5C9B" w:rsidRDefault="00DB19D8" w:rsidP="00DB19D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DB19D8">
        <w:rPr>
          <w:rFonts w:asciiTheme="majorBidi" w:hAnsiTheme="majorBidi" w:cstheme="majorBidi"/>
          <w:noProof/>
        </w:rPr>
        <w:t>Breast cancer out of total female neoplasm by Caza</w:t>
      </w:r>
      <w:r w:rsidR="007B5C9B">
        <w:rPr>
          <w:rFonts w:asciiTheme="majorBidi" w:hAnsiTheme="majorBidi" w:cstheme="majorBidi"/>
          <w:noProof/>
        </w:rPr>
        <w:t xml:space="preserve">: </w:t>
      </w:r>
      <w:r>
        <w:rPr>
          <w:rFonts w:asciiTheme="majorBidi" w:hAnsiTheme="majorBidi" w:cstheme="majorBidi"/>
          <w:noProof/>
        </w:rPr>
        <w:t>38.3</w:t>
      </w:r>
      <w:r w:rsidR="007B5C9B">
        <w:rPr>
          <w:rFonts w:asciiTheme="majorBidi" w:hAnsiTheme="majorBidi" w:cstheme="majorBidi"/>
          <w:noProof/>
        </w:rPr>
        <w:t>%.</w:t>
      </w:r>
    </w:p>
    <w:p w:rsidR="007B5C9B" w:rsidRDefault="00AE607A" w:rsidP="00247F5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</w:rPr>
      </w:pPr>
      <w:r w:rsidRPr="00AE607A">
        <w:rPr>
          <w:rFonts w:asciiTheme="majorBidi" w:hAnsiTheme="majorBidi" w:cstheme="majorBidi"/>
          <w:noProof/>
        </w:rPr>
        <w:t>Notifiable disease cases reported to MOPH</w:t>
      </w:r>
      <w:r>
        <w:rPr>
          <w:rFonts w:asciiTheme="majorBidi" w:hAnsiTheme="majorBidi" w:cstheme="majorBidi"/>
          <w:noProof/>
        </w:rPr>
        <w:t>:</w:t>
      </w:r>
    </w:p>
    <w:p w:rsidR="00AE607A" w:rsidRDefault="00AE607A" w:rsidP="002175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AE607A">
        <w:rPr>
          <w:rFonts w:asciiTheme="majorBidi" w:hAnsiTheme="majorBidi" w:cstheme="majorBidi"/>
          <w:noProof/>
        </w:rPr>
        <w:t>Vaccine preventable diseases</w:t>
      </w:r>
      <w:r>
        <w:rPr>
          <w:rFonts w:asciiTheme="majorBidi" w:hAnsiTheme="majorBidi" w:cstheme="majorBidi"/>
          <w:noProof/>
        </w:rPr>
        <w:t xml:space="preserve">: </w:t>
      </w:r>
      <w:r w:rsidR="00217556">
        <w:rPr>
          <w:rFonts w:asciiTheme="majorBidi" w:hAnsiTheme="majorBidi" w:cstheme="majorBidi"/>
          <w:noProof/>
        </w:rPr>
        <w:t>345</w:t>
      </w:r>
      <w:r>
        <w:rPr>
          <w:rFonts w:asciiTheme="majorBidi" w:hAnsiTheme="majorBidi" w:cstheme="majorBidi"/>
          <w:noProof/>
        </w:rPr>
        <w:t xml:space="preserve"> cases.</w:t>
      </w:r>
    </w:p>
    <w:p w:rsidR="00AE607A" w:rsidRDefault="00AE607A" w:rsidP="002175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AE607A">
        <w:rPr>
          <w:rFonts w:asciiTheme="majorBidi" w:hAnsiTheme="majorBidi" w:cstheme="majorBidi"/>
          <w:noProof/>
        </w:rPr>
        <w:t>Food and water borne diseases</w:t>
      </w:r>
      <w:r>
        <w:rPr>
          <w:rFonts w:asciiTheme="majorBidi" w:hAnsiTheme="majorBidi" w:cstheme="majorBidi"/>
          <w:noProof/>
        </w:rPr>
        <w:t>: 1,</w:t>
      </w:r>
      <w:r w:rsidR="00217556">
        <w:rPr>
          <w:rFonts w:asciiTheme="majorBidi" w:hAnsiTheme="majorBidi" w:cstheme="majorBidi"/>
          <w:noProof/>
        </w:rPr>
        <w:t>967</w:t>
      </w:r>
      <w:r>
        <w:rPr>
          <w:rFonts w:asciiTheme="majorBidi" w:hAnsiTheme="majorBidi" w:cstheme="majorBidi"/>
          <w:noProof/>
        </w:rPr>
        <w:t xml:space="preserve"> cases.</w:t>
      </w:r>
    </w:p>
    <w:p w:rsidR="00AE607A" w:rsidRDefault="00AE607A" w:rsidP="000351C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AE607A">
        <w:rPr>
          <w:rFonts w:asciiTheme="majorBidi" w:hAnsiTheme="majorBidi" w:cstheme="majorBidi"/>
          <w:noProof/>
        </w:rPr>
        <w:t>Other diseases</w:t>
      </w:r>
      <w:r>
        <w:rPr>
          <w:rFonts w:asciiTheme="majorBidi" w:hAnsiTheme="majorBidi" w:cstheme="majorBidi"/>
          <w:noProof/>
        </w:rPr>
        <w:t xml:space="preserve">: </w:t>
      </w:r>
      <w:r w:rsidR="000351C3">
        <w:rPr>
          <w:rFonts w:asciiTheme="majorBidi" w:hAnsiTheme="majorBidi" w:cstheme="majorBidi"/>
          <w:noProof/>
        </w:rPr>
        <w:t>403</w:t>
      </w:r>
      <w:r>
        <w:rPr>
          <w:rFonts w:asciiTheme="majorBidi" w:hAnsiTheme="majorBidi" w:cstheme="majorBidi"/>
          <w:noProof/>
        </w:rPr>
        <w:t xml:space="preserve"> cases.</w:t>
      </w:r>
    </w:p>
    <w:p w:rsidR="00AE607A" w:rsidRDefault="00AE607A" w:rsidP="00247F5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Most reported morbidity indicators:</w:t>
      </w:r>
    </w:p>
    <w:p w:rsidR="00AE607A" w:rsidRDefault="00AE607A" w:rsidP="002175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Malaria: </w:t>
      </w:r>
      <w:r w:rsidR="00217556">
        <w:rPr>
          <w:rFonts w:asciiTheme="majorBidi" w:hAnsiTheme="majorBidi" w:cstheme="majorBidi"/>
          <w:noProof/>
        </w:rPr>
        <w:t>66</w:t>
      </w:r>
      <w:r>
        <w:rPr>
          <w:rFonts w:asciiTheme="majorBidi" w:hAnsiTheme="majorBidi" w:cstheme="majorBidi"/>
          <w:noProof/>
        </w:rPr>
        <w:t xml:space="preserve"> cases.</w:t>
      </w:r>
    </w:p>
    <w:p w:rsidR="00AE607A" w:rsidRDefault="00AE607A" w:rsidP="002175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AE607A">
        <w:rPr>
          <w:rFonts w:asciiTheme="majorBidi" w:hAnsiTheme="majorBidi" w:cstheme="majorBidi"/>
          <w:noProof/>
        </w:rPr>
        <w:t>Measles</w:t>
      </w:r>
      <w:r>
        <w:rPr>
          <w:rFonts w:asciiTheme="majorBidi" w:hAnsiTheme="majorBidi" w:cstheme="majorBidi"/>
          <w:noProof/>
        </w:rPr>
        <w:t xml:space="preserve">: </w:t>
      </w:r>
      <w:r w:rsidR="00217556">
        <w:rPr>
          <w:rFonts w:asciiTheme="majorBidi" w:hAnsiTheme="majorBidi" w:cstheme="majorBidi"/>
          <w:noProof/>
        </w:rPr>
        <w:t>11</w:t>
      </w:r>
      <w:r>
        <w:rPr>
          <w:rFonts w:asciiTheme="majorBidi" w:hAnsiTheme="majorBidi" w:cstheme="majorBidi"/>
          <w:noProof/>
        </w:rPr>
        <w:t xml:space="preserve"> cases.</w:t>
      </w:r>
    </w:p>
    <w:p w:rsidR="00AE607A" w:rsidRDefault="00AE607A" w:rsidP="002175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AIDS: </w:t>
      </w:r>
      <w:r w:rsidR="00217556">
        <w:rPr>
          <w:rFonts w:asciiTheme="majorBidi" w:hAnsiTheme="majorBidi" w:cstheme="majorBidi"/>
          <w:noProof/>
        </w:rPr>
        <w:t>21</w:t>
      </w:r>
      <w:r>
        <w:rPr>
          <w:rFonts w:asciiTheme="majorBidi" w:hAnsiTheme="majorBidi" w:cstheme="majorBidi"/>
          <w:noProof/>
        </w:rPr>
        <w:t xml:space="preserve"> cases.</w:t>
      </w:r>
    </w:p>
    <w:p w:rsidR="00AE607A" w:rsidRPr="00AE607A" w:rsidRDefault="00AE607A" w:rsidP="0021755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noProof/>
        </w:rPr>
      </w:pPr>
      <w:r w:rsidRPr="00AE607A">
        <w:rPr>
          <w:rFonts w:asciiTheme="majorBidi" w:hAnsiTheme="majorBidi" w:cstheme="majorBidi"/>
          <w:noProof/>
        </w:rPr>
        <w:t>MOPH tota</w:t>
      </w:r>
      <w:r>
        <w:rPr>
          <w:rFonts w:asciiTheme="majorBidi" w:hAnsiTheme="majorBidi" w:cstheme="majorBidi"/>
          <w:noProof/>
        </w:rPr>
        <w:t>l</w:t>
      </w:r>
      <w:r w:rsidRPr="00AE607A">
        <w:rPr>
          <w:rFonts w:asciiTheme="majorBidi" w:hAnsiTheme="majorBidi" w:cstheme="majorBidi"/>
          <w:noProof/>
        </w:rPr>
        <w:t xml:space="preserve"> budget: </w:t>
      </w:r>
      <w:r w:rsidR="00217556">
        <w:rPr>
          <w:rFonts w:asciiTheme="majorBidi" w:hAnsiTheme="majorBidi" w:cstheme="majorBidi"/>
          <w:noProof/>
        </w:rPr>
        <w:t xml:space="preserve">486,658,209,000 </w:t>
      </w:r>
      <w:r w:rsidRPr="00AE607A">
        <w:rPr>
          <w:rFonts w:asciiTheme="majorBidi" w:hAnsiTheme="majorBidi" w:cstheme="majorBidi"/>
          <w:noProof/>
        </w:rPr>
        <w:t xml:space="preserve">LBP. </w:t>
      </w:r>
    </w:p>
    <w:p w:rsidR="00FE515B" w:rsidRDefault="00FE515B" w:rsidP="00FE515B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</w:p>
    <w:p w:rsidR="008B0946" w:rsidRDefault="008B0946" w:rsidP="008B0946">
      <w:pPr>
        <w:bidi w:val="0"/>
        <w:jc w:val="both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  <w:lang w:eastAsia="en-US" w:bidi="ar-SA"/>
        </w:rPr>
        <w:drawing>
          <wp:inline distT="0" distB="0" distL="0" distR="0">
            <wp:extent cx="6115685" cy="8646795"/>
            <wp:effectExtent l="19050" t="0" r="0" b="0"/>
            <wp:docPr id="4" name="Picture 4" descr="C:\Documents and Settings\Administrator\Desktop\NEW Maps 2010\Hospi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NEW Maps 2010\Hospit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46" w:rsidRDefault="008B0946" w:rsidP="003A548D">
      <w:pPr>
        <w:bidi w:val="0"/>
        <w:jc w:val="center"/>
        <w:rPr>
          <w:b/>
          <w:bCs/>
          <w:noProof/>
          <w:sz w:val="26"/>
          <w:szCs w:val="26"/>
        </w:rPr>
      </w:pPr>
    </w:p>
    <w:p w:rsidR="00667CFC" w:rsidRPr="00FF61F1" w:rsidRDefault="003A548D" w:rsidP="008B0946">
      <w:pPr>
        <w:bidi w:val="0"/>
        <w:jc w:val="center"/>
        <w:rPr>
          <w:noProof/>
          <w:sz w:val="26"/>
          <w:szCs w:val="26"/>
        </w:rPr>
      </w:pPr>
      <w:r w:rsidRPr="003A548D">
        <w:rPr>
          <w:b/>
          <w:bCs/>
          <w:noProof/>
          <w:sz w:val="26"/>
          <w:szCs w:val="26"/>
        </w:rPr>
        <w:lastRenderedPageBreak/>
        <w:t>MOPH Subsidized hospitals admissions</w:t>
      </w:r>
    </w:p>
    <w:p w:rsidR="003A548D" w:rsidRDefault="003A548D" w:rsidP="00993B69">
      <w:pPr>
        <w:bidi w:val="0"/>
        <w:jc w:val="both"/>
        <w:rPr>
          <w:sz w:val="22"/>
          <w:szCs w:val="22"/>
        </w:rPr>
      </w:pPr>
    </w:p>
    <w:p w:rsidR="004B20ED" w:rsidRDefault="00145904" w:rsidP="00105935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There are </w:t>
      </w:r>
      <w:r w:rsidR="00105935">
        <w:rPr>
          <w:sz w:val="22"/>
          <w:szCs w:val="22"/>
        </w:rPr>
        <w:t>229</w:t>
      </w:r>
      <w:r>
        <w:rPr>
          <w:sz w:val="22"/>
          <w:szCs w:val="22"/>
        </w:rPr>
        <w:t>,</w:t>
      </w:r>
      <w:r w:rsidR="00105935">
        <w:rPr>
          <w:sz w:val="22"/>
          <w:szCs w:val="22"/>
        </w:rPr>
        <w:t>529</w:t>
      </w:r>
      <w:r>
        <w:rPr>
          <w:sz w:val="22"/>
          <w:szCs w:val="22"/>
        </w:rPr>
        <w:t xml:space="preserve"> </w:t>
      </w:r>
      <w:r w:rsidR="004B20ED" w:rsidRPr="004B20ED">
        <w:rPr>
          <w:sz w:val="22"/>
          <w:szCs w:val="22"/>
        </w:rPr>
        <w:t xml:space="preserve">hospitalized </w:t>
      </w:r>
      <w:r w:rsidRPr="004B20ED">
        <w:rPr>
          <w:sz w:val="22"/>
          <w:szCs w:val="22"/>
        </w:rPr>
        <w:t>diagnoses</w:t>
      </w:r>
      <w:r>
        <w:rPr>
          <w:sz w:val="22"/>
          <w:szCs w:val="22"/>
        </w:rPr>
        <w:t xml:space="preserve"> in </w:t>
      </w:r>
      <w:r w:rsidR="00105935">
        <w:rPr>
          <w:sz w:val="22"/>
          <w:szCs w:val="22"/>
        </w:rPr>
        <w:t>2010.</w:t>
      </w:r>
    </w:p>
    <w:p w:rsidR="00105935" w:rsidRDefault="00105935" w:rsidP="00105935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MOPH subsidized hospitals admissions in 2010: </w:t>
      </w:r>
      <w:r w:rsidRPr="00105935">
        <w:rPr>
          <w:sz w:val="22"/>
          <w:szCs w:val="22"/>
        </w:rPr>
        <w:t>267,860</w:t>
      </w:r>
      <w:r>
        <w:rPr>
          <w:sz w:val="22"/>
          <w:szCs w:val="22"/>
        </w:rPr>
        <w:t>:</w:t>
      </w:r>
    </w:p>
    <w:p w:rsidR="00FE515B" w:rsidRDefault="00FE515B" w:rsidP="00FE515B">
      <w:pPr>
        <w:bidi w:val="0"/>
        <w:rPr>
          <w:sz w:val="22"/>
          <w:szCs w:val="22"/>
        </w:rPr>
      </w:pPr>
    </w:p>
    <w:p w:rsidR="008A72FA" w:rsidRPr="008A72FA" w:rsidRDefault="008A72FA" w:rsidP="00E24492">
      <w:pPr>
        <w:bidi w:val="0"/>
        <w:jc w:val="center"/>
        <w:rPr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Category of diagnosis and </w:t>
      </w:r>
      <w:r w:rsidR="00E24492">
        <w:rPr>
          <w:b/>
          <w:bCs/>
          <w:i/>
          <w:iCs/>
          <w:noProof/>
          <w:sz w:val="26"/>
          <w:szCs w:val="26"/>
        </w:rPr>
        <w:t>sex</w:t>
      </w:r>
    </w:p>
    <w:p w:rsidR="004B20ED" w:rsidRDefault="00FE515B" w:rsidP="008B0946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Among the </w:t>
      </w:r>
      <w:r w:rsidR="008B0946" w:rsidRPr="00105935">
        <w:rPr>
          <w:sz w:val="22"/>
          <w:szCs w:val="22"/>
        </w:rPr>
        <w:t>267,860</w:t>
      </w:r>
      <w:r w:rsidR="008B0946">
        <w:rPr>
          <w:sz w:val="22"/>
          <w:szCs w:val="22"/>
        </w:rPr>
        <w:t xml:space="preserve"> </w:t>
      </w:r>
      <w:r>
        <w:rPr>
          <w:sz w:val="22"/>
          <w:szCs w:val="22"/>
        </w:rPr>
        <w:t>hospitalized cases, 55.</w:t>
      </w:r>
      <w:r w:rsidR="008B0946">
        <w:rPr>
          <w:sz w:val="22"/>
          <w:szCs w:val="22"/>
        </w:rPr>
        <w:t>2</w:t>
      </w:r>
      <w:r>
        <w:rPr>
          <w:sz w:val="22"/>
          <w:szCs w:val="22"/>
        </w:rPr>
        <w:t>% are females.</w:t>
      </w:r>
    </w:p>
    <w:p w:rsidR="00FE515B" w:rsidRDefault="00FE515B" w:rsidP="00FE515B">
      <w:pPr>
        <w:bidi w:val="0"/>
        <w:rPr>
          <w:sz w:val="22"/>
          <w:szCs w:val="22"/>
        </w:rPr>
      </w:pPr>
    </w:p>
    <w:p w:rsidR="00FE515B" w:rsidRPr="008B0946" w:rsidRDefault="00FE515B" w:rsidP="008B0946">
      <w:pPr>
        <w:bidi w:val="0"/>
        <w:jc w:val="center"/>
        <w:rPr>
          <w:b/>
          <w:bCs/>
          <w:sz w:val="22"/>
          <w:szCs w:val="22"/>
        </w:rPr>
      </w:pPr>
      <w:r w:rsidRPr="008B0946">
        <w:rPr>
          <w:b/>
          <w:bCs/>
          <w:sz w:val="22"/>
          <w:szCs w:val="22"/>
        </w:rPr>
        <w:t>Table 20.</w:t>
      </w:r>
      <w:r w:rsidR="00105935" w:rsidRPr="008B0946">
        <w:rPr>
          <w:b/>
          <w:bCs/>
          <w:sz w:val="22"/>
          <w:szCs w:val="22"/>
        </w:rPr>
        <w:t>1</w:t>
      </w:r>
      <w:r w:rsidRPr="008B0946">
        <w:rPr>
          <w:b/>
          <w:bCs/>
          <w:sz w:val="22"/>
          <w:szCs w:val="22"/>
        </w:rPr>
        <w:t xml:space="preserve"> – Categories of diagnosis and </w:t>
      </w:r>
      <w:r w:rsidR="00E24492" w:rsidRPr="008B0946">
        <w:rPr>
          <w:b/>
          <w:bCs/>
          <w:sz w:val="22"/>
          <w:szCs w:val="22"/>
        </w:rPr>
        <w:t>sex</w:t>
      </w:r>
      <w:r w:rsidRPr="008B0946">
        <w:rPr>
          <w:b/>
          <w:bCs/>
          <w:sz w:val="22"/>
          <w:szCs w:val="22"/>
        </w:rPr>
        <w:t xml:space="preserve"> in </w:t>
      </w:r>
      <w:r w:rsidR="008B0946">
        <w:rPr>
          <w:b/>
          <w:bCs/>
          <w:sz w:val="22"/>
          <w:szCs w:val="22"/>
        </w:rPr>
        <w:t>2010</w:t>
      </w:r>
    </w:p>
    <w:tbl>
      <w:tblPr>
        <w:tblStyle w:val="TableGrid"/>
        <w:tblW w:w="10288" w:type="dxa"/>
        <w:jc w:val="center"/>
        <w:tblInd w:w="17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984"/>
        <w:gridCol w:w="2729"/>
        <w:gridCol w:w="937"/>
        <w:gridCol w:w="1150"/>
        <w:gridCol w:w="1216"/>
        <w:gridCol w:w="3272"/>
      </w:tblGrid>
      <w:tr w:rsidR="00773453" w:rsidRPr="00575DF9" w:rsidTr="008B0946">
        <w:trPr>
          <w:jc w:val="center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55A" w:rsidRPr="00575DF9" w:rsidRDefault="0052155A" w:rsidP="0052155A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Code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55A" w:rsidRPr="00575DF9" w:rsidRDefault="0052155A" w:rsidP="00773453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55A" w:rsidRPr="00575DF9" w:rsidRDefault="0052155A" w:rsidP="0052155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55A" w:rsidRPr="00575DF9" w:rsidRDefault="0052155A" w:rsidP="0052155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% of total admissions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55A" w:rsidRPr="00575DF9" w:rsidRDefault="0052155A" w:rsidP="0024058A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Females. %</w:t>
            </w:r>
            <w:r w:rsidR="0024058A"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of description </w:t>
            </w: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155A" w:rsidRPr="00575DF9" w:rsidRDefault="0052155A" w:rsidP="00773453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Peak disease. %</w:t>
            </w:r>
            <w:r w:rsidR="0024058A"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of description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A00-B99</w:t>
            </w:r>
          </w:p>
        </w:tc>
        <w:tc>
          <w:tcPr>
            <w:tcW w:w="2729" w:type="dxa"/>
            <w:tcBorders>
              <w:top w:val="single" w:sz="12" w:space="0" w:color="auto"/>
            </w:tcBorders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Certain infections and parasitic diseases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11,292 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4.2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46.9</w:t>
            </w:r>
          </w:p>
        </w:tc>
        <w:tc>
          <w:tcPr>
            <w:tcW w:w="3272" w:type="dxa"/>
            <w:tcBorders>
              <w:top w:val="single" w:sz="12" w:space="0" w:color="auto"/>
            </w:tcBorders>
            <w:vAlign w:val="center"/>
          </w:tcPr>
          <w:p w:rsidR="003E4905" w:rsidRPr="00575DF9" w:rsidRDefault="003E4905" w:rsidP="003E490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A00-A09 – Intestinal infectious diseases (90.5)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C00-D48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Neoplasm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25,803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9.6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59.1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3E4905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C00-C97 – Malignant neoplasms (88.3)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D50-D53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blood and blood forming organs and certain disorders involving the immune mechanism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3,298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53.2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3E4905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D60-D64 – Aplastic and other anaemias (41.8)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E00-E90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Endocrine, nutritional and metabolic diseases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5,511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63.2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47533D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E10-E14 – Diabetes mellitus (</w:t>
            </w:r>
            <w:r w:rsidR="0047533D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60.4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F00-F99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Mental and behavioral disorders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1,647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41.8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47533D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F20-F29 – Schizophrenia, schizotypal and delusional disorders (</w:t>
            </w:r>
            <w:r w:rsidR="0047533D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54.9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G00-G99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nervous system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4,298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1.6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50.5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47533D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G40-G47 – Episodic and paroxysmal disorders (</w:t>
            </w:r>
            <w:r w:rsidR="0047533D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37.6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H00-H59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eye and adnexa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8,001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3.0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54.3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47533D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H25-H28 – Disorders of lens (76.</w:t>
            </w:r>
            <w:r w:rsidR="0047533D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4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H60-H95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ear and mastoid process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1,572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49.7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47533D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H65-H75 – Diseases of middle ear and mastoid (</w:t>
            </w:r>
            <w:r w:rsidR="0047533D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63.5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I00-I99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circulatory system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37,476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14.0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46.8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61097A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I20-I25 – Ischaemic heart diseases (</w:t>
            </w:r>
            <w:r w:rsidR="0061097A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47.6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J00-J99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respiratory system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27,834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10.4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46.4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61097A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J09-J18 – Influenza and pneumonia (</w:t>
            </w:r>
            <w:r w:rsidR="0061097A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36.1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K00-K93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digestive system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21,638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8.1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47.7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K40-K46 – Hernia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25.6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L00-L99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skin and subcutaneous tissue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1,840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0.7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41.8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L00-L08 – Infections of the skin and subcutaneous tissue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66.3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M00-M99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musculoskeletal system and connective tissue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8,457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58.1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M00-M25 – Arthropathies (38.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3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N00-N99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Diseases of the genitourinary system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21,902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8.2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55.3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N20-N23 – Urolithiasis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33.0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O00-O99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Pregnancy, childbirth and the puerperium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24,350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9.1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100.0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O80-O84 – Delivery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91.3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P00-P96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Certain conditions originating in the perinatal period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3,652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1.4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41.6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P20-P29 – Respiratory and cardiovascular disorders specific to the perinatal period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52.2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Q00-Q99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Congenital malformations, deformations and chromosomal abnormalities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1,565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0.6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32.7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F2207D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Q50-Q56 – Congenital malformations of genital organs (32.3)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R00-R99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Symptoms, signs and abnormal clinical and laboratory findings, not elsewhere classified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41,203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15.4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54.5</w:t>
            </w:r>
          </w:p>
        </w:tc>
        <w:tc>
          <w:tcPr>
            <w:tcW w:w="3272" w:type="dxa"/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R10-R19 – Symptoms and signs involving the digestive system and abdomen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42.8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S00-T98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Injury, poisoning and certain other consequences of external causes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14,119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5.3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38.4</w:t>
            </w:r>
          </w:p>
        </w:tc>
        <w:tc>
          <w:tcPr>
            <w:tcW w:w="3272" w:type="dxa"/>
            <w:vAlign w:val="center"/>
          </w:tcPr>
          <w:p w:rsidR="003E4905" w:rsidRPr="00575DF9" w:rsidRDefault="00575DF9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 xml:space="preserve">T00-T07 </w:t>
            </w:r>
            <w:r w:rsidR="003E4905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 xml:space="preserve">– 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 xml:space="preserve">Injuries involving multiple body regions </w:t>
            </w:r>
            <w:r w:rsidR="003E4905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(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14.1</w:t>
            </w:r>
            <w:r w:rsidR="003E4905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575DF9">
        <w:trPr>
          <w:jc w:val="center"/>
        </w:trPr>
        <w:tc>
          <w:tcPr>
            <w:tcW w:w="984" w:type="dxa"/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V01-Y98</w:t>
            </w:r>
          </w:p>
        </w:tc>
        <w:tc>
          <w:tcPr>
            <w:tcW w:w="2729" w:type="dxa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External causes of morbidity and mortality</w:t>
            </w:r>
          </w:p>
        </w:tc>
        <w:tc>
          <w:tcPr>
            <w:tcW w:w="937" w:type="dxa"/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162 </w:t>
            </w:r>
          </w:p>
        </w:tc>
        <w:tc>
          <w:tcPr>
            <w:tcW w:w="1150" w:type="dxa"/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0.1</w:t>
            </w:r>
          </w:p>
        </w:tc>
        <w:tc>
          <w:tcPr>
            <w:tcW w:w="1216" w:type="dxa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32.1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</w:p>
        </w:tc>
      </w:tr>
      <w:tr w:rsidR="003E4905" w:rsidRPr="00575DF9" w:rsidTr="0040275E">
        <w:trPr>
          <w:jc w:val="center"/>
        </w:trPr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Z00-Z99</w:t>
            </w:r>
          </w:p>
        </w:tc>
        <w:tc>
          <w:tcPr>
            <w:tcW w:w="2729" w:type="dxa"/>
            <w:tcBorders>
              <w:bottom w:val="single" w:sz="12" w:space="0" w:color="auto"/>
            </w:tcBorders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Factors influencing health status and contact with health services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2,240 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0.8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sz w:val="16"/>
                <w:szCs w:val="16"/>
              </w:rPr>
              <w:t>53.0</w:t>
            </w:r>
          </w:p>
        </w:tc>
        <w:tc>
          <w:tcPr>
            <w:tcW w:w="3272" w:type="dxa"/>
            <w:tcBorders>
              <w:bottom w:val="single" w:sz="12" w:space="0" w:color="auto"/>
            </w:tcBorders>
            <w:vAlign w:val="center"/>
          </w:tcPr>
          <w:p w:rsidR="003E4905" w:rsidRPr="00575DF9" w:rsidRDefault="003E4905" w:rsidP="00575DF9">
            <w:pPr>
              <w:bidi w:val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Z40-Z54 – Persons encountering health services for specific procedures and health care (</w:t>
            </w:r>
            <w:r w:rsidR="00575DF9"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62.1</w:t>
            </w:r>
            <w:r w:rsidRPr="00575DF9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  <w:tr w:rsidR="003E4905" w:rsidRPr="00575DF9" w:rsidTr="007D25E3">
        <w:trPr>
          <w:jc w:val="center"/>
        </w:trPr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4905" w:rsidRPr="00575DF9" w:rsidRDefault="003E4905" w:rsidP="0052155A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729" w:type="dxa"/>
            <w:tcBorders>
              <w:top w:val="single" w:sz="12" w:space="0" w:color="auto"/>
              <w:bottom w:val="single" w:sz="12" w:space="0" w:color="auto"/>
            </w:tcBorders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4905" w:rsidRPr="00575DF9" w:rsidRDefault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267,860 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E4905" w:rsidRPr="00575DF9" w:rsidRDefault="003E4905" w:rsidP="008B0946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100.0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E4905" w:rsidRPr="00575DF9" w:rsidRDefault="003E4905" w:rsidP="003E4905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75D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55.2</w:t>
            </w:r>
          </w:p>
        </w:tc>
        <w:tc>
          <w:tcPr>
            <w:tcW w:w="3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4905" w:rsidRPr="00575DF9" w:rsidRDefault="003E4905" w:rsidP="00773453">
            <w:pPr>
              <w:bidi w:val="0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</w:p>
        </w:tc>
      </w:tr>
    </w:tbl>
    <w:p w:rsidR="00FE515B" w:rsidRPr="00FE515B" w:rsidRDefault="00FE515B" w:rsidP="008B0946">
      <w:pPr>
        <w:bidi w:val="0"/>
        <w:jc w:val="center"/>
        <w:rPr>
          <w:i/>
          <w:iCs/>
          <w:sz w:val="20"/>
          <w:szCs w:val="20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="0052155A" w:rsidRPr="0052155A">
        <w:rPr>
          <w:i/>
          <w:iCs/>
          <w:sz w:val="18"/>
          <w:szCs w:val="18"/>
        </w:rPr>
        <w:t>Ministry of Public Health</w:t>
      </w:r>
      <w:r w:rsidR="0052155A"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8B0946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FE515B" w:rsidRDefault="00FE515B" w:rsidP="00FE515B">
      <w:pPr>
        <w:bidi w:val="0"/>
        <w:rPr>
          <w:sz w:val="22"/>
          <w:szCs w:val="22"/>
        </w:rPr>
      </w:pPr>
    </w:p>
    <w:p w:rsidR="004B20ED" w:rsidRDefault="000C2E53" w:rsidP="004B20ED">
      <w:pPr>
        <w:bidi w:val="0"/>
        <w:rPr>
          <w:sz w:val="22"/>
          <w:szCs w:val="22"/>
        </w:rPr>
      </w:pPr>
      <w:r>
        <w:rPr>
          <w:sz w:val="22"/>
          <w:szCs w:val="22"/>
        </w:rPr>
        <w:t xml:space="preserve">Peak of category of diagnosis: </w:t>
      </w:r>
    </w:p>
    <w:p w:rsidR="000C2E53" w:rsidRPr="000C2E53" w:rsidRDefault="000C2E53" w:rsidP="00575DF9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0C2E53">
        <w:rPr>
          <w:rFonts w:asciiTheme="majorBidi" w:hAnsiTheme="majorBidi" w:cstheme="majorBidi"/>
        </w:rPr>
        <w:t>R00-R99</w:t>
      </w:r>
      <w:r>
        <w:rPr>
          <w:rFonts w:asciiTheme="majorBidi" w:hAnsiTheme="majorBidi" w:cstheme="majorBidi"/>
        </w:rPr>
        <w:t xml:space="preserve"> - </w:t>
      </w:r>
      <w:r w:rsidRPr="000C2E53">
        <w:rPr>
          <w:rFonts w:asciiTheme="majorBidi" w:hAnsiTheme="majorBidi" w:cstheme="majorBidi"/>
        </w:rPr>
        <w:t>Symptoms, signs and abnormal clinical and laboratory findings, not elsewhere classified</w:t>
      </w:r>
      <w:r>
        <w:rPr>
          <w:rFonts w:asciiTheme="majorBidi" w:hAnsiTheme="majorBidi" w:cstheme="majorBidi"/>
        </w:rPr>
        <w:t>: 1</w:t>
      </w:r>
      <w:r w:rsidR="00575DF9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</w:t>
      </w:r>
      <w:r w:rsidR="00575DF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%.</w:t>
      </w:r>
    </w:p>
    <w:p w:rsidR="004B20ED" w:rsidRDefault="004B20ED" w:rsidP="004B20ED">
      <w:pPr>
        <w:bidi w:val="0"/>
        <w:rPr>
          <w:sz w:val="22"/>
          <w:szCs w:val="22"/>
        </w:rPr>
      </w:pPr>
    </w:p>
    <w:p w:rsidR="004B20ED" w:rsidRDefault="004B20ED" w:rsidP="004B20ED">
      <w:pPr>
        <w:bidi w:val="0"/>
        <w:rPr>
          <w:sz w:val="22"/>
          <w:szCs w:val="22"/>
        </w:rPr>
      </w:pPr>
    </w:p>
    <w:p w:rsidR="004B20ED" w:rsidRDefault="004B20ED" w:rsidP="004B20ED">
      <w:pPr>
        <w:bidi w:val="0"/>
        <w:rPr>
          <w:sz w:val="22"/>
          <w:szCs w:val="22"/>
        </w:rPr>
      </w:pPr>
    </w:p>
    <w:p w:rsidR="00667CFC" w:rsidRPr="00FF61F1" w:rsidRDefault="00667CFC" w:rsidP="004B20ED">
      <w:pPr>
        <w:bidi w:val="0"/>
        <w:rPr>
          <w:noProof/>
        </w:rPr>
      </w:pPr>
    </w:p>
    <w:p w:rsidR="00667CFC" w:rsidRPr="00FF61F1" w:rsidRDefault="00667CFC" w:rsidP="00667CFC">
      <w:pPr>
        <w:bidi w:val="0"/>
        <w:rPr>
          <w:noProof/>
        </w:rPr>
      </w:pPr>
    </w:p>
    <w:p w:rsidR="00667CFC" w:rsidRPr="00FF61F1" w:rsidRDefault="00667CFC" w:rsidP="00667CFC">
      <w:pPr>
        <w:bidi w:val="0"/>
        <w:rPr>
          <w:noProof/>
        </w:rPr>
      </w:pPr>
    </w:p>
    <w:p w:rsidR="00667CFC" w:rsidRDefault="00667CFC" w:rsidP="00667CFC">
      <w:pPr>
        <w:bidi w:val="0"/>
        <w:rPr>
          <w:noProof/>
        </w:rPr>
      </w:pPr>
    </w:p>
    <w:p w:rsidR="00FE3ACB" w:rsidRPr="00FF61F1" w:rsidRDefault="00FE3ACB" w:rsidP="00FE3ACB">
      <w:pPr>
        <w:bidi w:val="0"/>
        <w:rPr>
          <w:noProof/>
        </w:rPr>
      </w:pPr>
    </w:p>
    <w:p w:rsidR="00667CFC" w:rsidRPr="00FF61F1" w:rsidRDefault="00667CFC" w:rsidP="00667CFC">
      <w:pPr>
        <w:bidi w:val="0"/>
        <w:rPr>
          <w:noProof/>
        </w:rPr>
      </w:pPr>
    </w:p>
    <w:p w:rsidR="00667CFC" w:rsidRDefault="00FE3ACB" w:rsidP="00667CFC">
      <w:pPr>
        <w:bidi w:val="0"/>
        <w:rPr>
          <w:noProof/>
        </w:rPr>
      </w:pPr>
      <w:r>
        <w:rPr>
          <w:noProof/>
          <w:lang w:eastAsia="en-US" w:bidi="ar-SA"/>
        </w:rPr>
        <w:drawing>
          <wp:inline distT="0" distB="0" distL="0" distR="0">
            <wp:extent cx="6115685" cy="8646795"/>
            <wp:effectExtent l="19050" t="0" r="0" b="0"/>
            <wp:docPr id="8" name="Picture 8" descr="C:\Documents and Settings\Administrator\Desktop\NEW Maps 2010\Hospitals_Admi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NEW Maps 2010\Hospitals_Admissio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F9" w:rsidRDefault="00575DF9" w:rsidP="00575DF9">
      <w:pPr>
        <w:bidi w:val="0"/>
        <w:rPr>
          <w:noProof/>
        </w:rPr>
      </w:pPr>
    </w:p>
    <w:p w:rsidR="00667CFC" w:rsidRPr="00FF61F1" w:rsidRDefault="00017FBA" w:rsidP="00122204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lastRenderedPageBreak/>
        <w:t>HIV / AIDS</w:t>
      </w:r>
    </w:p>
    <w:p w:rsidR="00667CFC" w:rsidRPr="00FF61F1" w:rsidRDefault="00667CFC" w:rsidP="00017FBA">
      <w:pPr>
        <w:bidi w:val="0"/>
        <w:spacing w:line="120" w:lineRule="auto"/>
        <w:jc w:val="center"/>
        <w:rPr>
          <w:noProof/>
          <w:sz w:val="26"/>
          <w:szCs w:val="26"/>
        </w:rPr>
      </w:pPr>
    </w:p>
    <w:p w:rsidR="00667CFC" w:rsidRPr="00FF61F1" w:rsidRDefault="007F5AF3" w:rsidP="007F5AF3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21</w:t>
      </w:r>
      <w:r w:rsidR="00017FBA">
        <w:rPr>
          <w:noProof/>
          <w:sz w:val="22"/>
          <w:szCs w:val="22"/>
        </w:rPr>
        <w:t xml:space="preserve"> cases of HIV / AIDS are reported </w:t>
      </w:r>
      <w:r>
        <w:rPr>
          <w:noProof/>
          <w:sz w:val="22"/>
          <w:szCs w:val="22"/>
        </w:rPr>
        <w:t>in 2010</w:t>
      </w:r>
      <w:r w:rsidR="00017FBA">
        <w:rPr>
          <w:noProof/>
          <w:sz w:val="22"/>
          <w:szCs w:val="22"/>
        </w:rPr>
        <w:t xml:space="preserve"> and 1,271 cases till </w:t>
      </w:r>
      <w:r>
        <w:rPr>
          <w:noProof/>
          <w:sz w:val="22"/>
          <w:szCs w:val="22"/>
        </w:rPr>
        <w:t>Novmeber 2010</w:t>
      </w:r>
      <w:r w:rsidR="00017FBA" w:rsidRPr="00017FBA">
        <w:rPr>
          <w:noProof/>
          <w:sz w:val="22"/>
          <w:szCs w:val="22"/>
        </w:rPr>
        <w:t xml:space="preserve"> </w:t>
      </w:r>
      <w:r w:rsidR="00017FBA">
        <w:rPr>
          <w:noProof/>
          <w:sz w:val="22"/>
          <w:szCs w:val="22"/>
        </w:rPr>
        <w:t>in Lebanon.</w:t>
      </w:r>
    </w:p>
    <w:p w:rsidR="00667CFC" w:rsidRDefault="00667CFC" w:rsidP="00D86F7B">
      <w:pPr>
        <w:bidi w:val="0"/>
        <w:spacing w:line="120" w:lineRule="auto"/>
        <w:jc w:val="center"/>
        <w:rPr>
          <w:b/>
          <w:bCs/>
          <w:noProof/>
          <w:sz w:val="26"/>
          <w:szCs w:val="26"/>
        </w:rPr>
      </w:pPr>
    </w:p>
    <w:p w:rsidR="00017FBA" w:rsidRPr="007F5AF3" w:rsidRDefault="00017FBA" w:rsidP="007F5AF3">
      <w:pPr>
        <w:bidi w:val="0"/>
        <w:jc w:val="center"/>
        <w:rPr>
          <w:b/>
          <w:bCs/>
          <w:sz w:val="22"/>
          <w:szCs w:val="22"/>
        </w:rPr>
      </w:pPr>
      <w:r w:rsidRPr="007F5AF3">
        <w:rPr>
          <w:b/>
          <w:bCs/>
          <w:sz w:val="22"/>
          <w:szCs w:val="22"/>
        </w:rPr>
        <w:t>Table 20.</w:t>
      </w:r>
      <w:r w:rsidR="007F5AF3" w:rsidRPr="007F5AF3">
        <w:rPr>
          <w:b/>
          <w:bCs/>
          <w:sz w:val="22"/>
          <w:szCs w:val="22"/>
        </w:rPr>
        <w:t>2</w:t>
      </w:r>
      <w:r w:rsidRPr="007F5AF3">
        <w:rPr>
          <w:b/>
          <w:bCs/>
          <w:sz w:val="22"/>
          <w:szCs w:val="22"/>
        </w:rPr>
        <w:t xml:space="preserve"> – HIV / AIDS</w:t>
      </w:r>
    </w:p>
    <w:tbl>
      <w:tblPr>
        <w:tblW w:w="8560" w:type="dxa"/>
        <w:tblInd w:w="96" w:type="dxa"/>
        <w:tblLook w:val="04A0"/>
      </w:tblPr>
      <w:tblGrid>
        <w:gridCol w:w="3986"/>
        <w:gridCol w:w="4574"/>
      </w:tblGrid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Reported cases till November 2010</w:t>
            </w:r>
          </w:p>
        </w:tc>
      </w:tr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Stage of the disease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HIV</w:t>
            </w:r>
          </w:p>
        </w:tc>
        <w:tc>
          <w:tcPr>
            <w:tcW w:w="457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42.0%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AIDS</w:t>
            </w: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23.0%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Not specified</w:t>
            </w:r>
          </w:p>
        </w:tc>
        <w:tc>
          <w:tcPr>
            <w:tcW w:w="457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23.0%</w:t>
            </w:r>
          </w:p>
        </w:tc>
      </w:tr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Sex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Females</w:t>
            </w:r>
          </w:p>
        </w:tc>
        <w:tc>
          <w:tcPr>
            <w:tcW w:w="457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11.0%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Males</w:t>
            </w:r>
          </w:p>
        </w:tc>
        <w:tc>
          <w:tcPr>
            <w:tcW w:w="457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89.0%</w:t>
            </w:r>
          </w:p>
        </w:tc>
      </w:tr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Age group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&lt; 30</w:t>
            </w:r>
          </w:p>
        </w:tc>
        <w:tc>
          <w:tcPr>
            <w:tcW w:w="457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18.0%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31 - 50</w:t>
            </w: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30.0%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&gt; 51</w:t>
            </w: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17.0%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Not specified</w:t>
            </w:r>
          </w:p>
        </w:tc>
        <w:tc>
          <w:tcPr>
            <w:tcW w:w="457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35.0%</w:t>
            </w:r>
          </w:p>
        </w:tc>
      </w:tr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Mode of transmission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Sexual</w:t>
            </w:r>
          </w:p>
        </w:tc>
        <w:tc>
          <w:tcPr>
            <w:tcW w:w="457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76.3%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Unspecified / Missing</w:t>
            </w:r>
          </w:p>
        </w:tc>
        <w:tc>
          <w:tcPr>
            <w:tcW w:w="457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23.5%</w:t>
            </w:r>
          </w:p>
        </w:tc>
      </w:tr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Sexual behavior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Homosexual</w:t>
            </w:r>
          </w:p>
        </w:tc>
        <w:tc>
          <w:tcPr>
            <w:tcW w:w="457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19.4%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Bisexual</w:t>
            </w: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16.1%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Heterosexual</w:t>
            </w: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20.4%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Not specified</w:t>
            </w:r>
          </w:p>
        </w:tc>
        <w:tc>
          <w:tcPr>
            <w:tcW w:w="457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44.0%</w:t>
            </w:r>
          </w:p>
        </w:tc>
      </w:tr>
      <w:tr w:rsidR="007F5AF3" w:rsidRPr="007F5AF3" w:rsidTr="0065376B">
        <w:trPr>
          <w:trHeight w:val="270"/>
        </w:trPr>
        <w:tc>
          <w:tcPr>
            <w:tcW w:w="8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5AF3" w:rsidRPr="007F5AF3" w:rsidRDefault="007F5AF3" w:rsidP="007F5AF3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Recent travel history</w:t>
            </w:r>
          </w:p>
        </w:tc>
      </w:tr>
      <w:tr w:rsidR="007F5AF3" w:rsidRPr="007F5AF3" w:rsidTr="0065376B">
        <w:trPr>
          <w:trHeight w:val="255"/>
        </w:trPr>
        <w:tc>
          <w:tcPr>
            <w:tcW w:w="39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Yes</w:t>
            </w:r>
          </w:p>
        </w:tc>
        <w:tc>
          <w:tcPr>
            <w:tcW w:w="457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29.0%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No</w:t>
            </w:r>
          </w:p>
        </w:tc>
        <w:tc>
          <w:tcPr>
            <w:tcW w:w="457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71.0%</w:t>
            </w:r>
          </w:p>
        </w:tc>
      </w:tr>
      <w:tr w:rsidR="007F5AF3" w:rsidRPr="007F5AF3" w:rsidTr="0065376B">
        <w:trPr>
          <w:trHeight w:val="270"/>
        </w:trPr>
        <w:tc>
          <w:tcPr>
            <w:tcW w:w="3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Total cases</w:t>
            </w:r>
          </w:p>
        </w:tc>
        <w:tc>
          <w:tcPr>
            <w:tcW w:w="45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AF3" w:rsidRPr="007F5AF3" w:rsidRDefault="007F5AF3" w:rsidP="007F5AF3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7F5AF3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 xml:space="preserve">                                                                                  1,271 </w:t>
            </w:r>
          </w:p>
        </w:tc>
      </w:tr>
    </w:tbl>
    <w:p w:rsidR="00D86F7B" w:rsidRDefault="00D86F7B" w:rsidP="0065376B">
      <w:pPr>
        <w:bidi w:val="0"/>
        <w:jc w:val="center"/>
        <w:rPr>
          <w:i/>
          <w:iCs/>
          <w:sz w:val="18"/>
          <w:szCs w:val="18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Pr="0052155A">
        <w:rPr>
          <w:i/>
          <w:iCs/>
          <w:sz w:val="18"/>
          <w:szCs w:val="18"/>
        </w:rPr>
        <w:t>Ministry of Public Health</w:t>
      </w:r>
      <w:r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65376B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FE3ACB" w:rsidRPr="00FE3ACB" w:rsidRDefault="00FE3ACB" w:rsidP="00FE3ACB">
      <w:pPr>
        <w:bidi w:val="0"/>
        <w:jc w:val="center"/>
        <w:rPr>
          <w:sz w:val="20"/>
          <w:szCs w:val="20"/>
        </w:rPr>
      </w:pPr>
    </w:p>
    <w:p w:rsidR="00667CFC" w:rsidRPr="00FF61F1" w:rsidRDefault="00667CFC" w:rsidP="0065376B">
      <w:pPr>
        <w:bidi w:val="0"/>
        <w:spacing w:line="120" w:lineRule="auto"/>
        <w:jc w:val="center"/>
        <w:rPr>
          <w:b/>
          <w:bCs/>
          <w:i/>
          <w:iCs/>
          <w:noProof/>
          <w:sz w:val="26"/>
          <w:szCs w:val="26"/>
        </w:rPr>
      </w:pPr>
    </w:p>
    <w:p w:rsidR="000E08B9" w:rsidRPr="00FF61F1" w:rsidRDefault="00C62BEF" w:rsidP="00C62BEF">
      <w:pPr>
        <w:bidi w:val="0"/>
        <w:jc w:val="center"/>
        <w:rPr>
          <w:b/>
          <w:bCs/>
          <w:noProof/>
          <w:sz w:val="26"/>
          <w:szCs w:val="26"/>
        </w:rPr>
      </w:pPr>
      <w:r w:rsidRPr="00C62BEF">
        <w:rPr>
          <w:b/>
          <w:bCs/>
          <w:noProof/>
          <w:sz w:val="26"/>
          <w:szCs w:val="26"/>
        </w:rPr>
        <w:t>Notifiable</w:t>
      </w:r>
      <w:r>
        <w:rPr>
          <w:b/>
          <w:bCs/>
          <w:noProof/>
          <w:sz w:val="26"/>
          <w:szCs w:val="26"/>
        </w:rPr>
        <w:t xml:space="preserve"> d</w:t>
      </w:r>
      <w:r w:rsidR="000E08B9">
        <w:rPr>
          <w:b/>
          <w:bCs/>
          <w:noProof/>
          <w:sz w:val="26"/>
          <w:szCs w:val="26"/>
        </w:rPr>
        <w:t>isease cases</w:t>
      </w:r>
      <w:r w:rsidR="000E08B9" w:rsidRPr="00FF61F1">
        <w:rPr>
          <w:b/>
          <w:bCs/>
          <w:noProof/>
          <w:sz w:val="26"/>
          <w:szCs w:val="26"/>
        </w:rPr>
        <w:t xml:space="preserve"> </w:t>
      </w:r>
      <w:r>
        <w:rPr>
          <w:b/>
          <w:bCs/>
          <w:noProof/>
          <w:sz w:val="26"/>
          <w:szCs w:val="26"/>
        </w:rPr>
        <w:t>reported to MOPH</w:t>
      </w:r>
    </w:p>
    <w:p w:rsidR="00667CFC" w:rsidRPr="00D42E8D" w:rsidRDefault="00667CFC" w:rsidP="00667CFC">
      <w:pPr>
        <w:bidi w:val="0"/>
        <w:jc w:val="center"/>
        <w:rPr>
          <w:b/>
          <w:bCs/>
          <w:noProof/>
          <w:sz w:val="26"/>
          <w:szCs w:val="26"/>
        </w:rPr>
      </w:pPr>
    </w:p>
    <w:p w:rsidR="00667CFC" w:rsidRDefault="00887CD4" w:rsidP="000351C3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In </w:t>
      </w:r>
      <w:r w:rsidR="000351C3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>, there are three types of notifiable diseases cases</w:t>
      </w:r>
      <w:r w:rsidR="00C62BEF">
        <w:rPr>
          <w:noProof/>
          <w:sz w:val="22"/>
          <w:szCs w:val="22"/>
        </w:rPr>
        <w:t>.</w:t>
      </w:r>
    </w:p>
    <w:p w:rsidR="00C62BEF" w:rsidRDefault="00C62BEF" w:rsidP="00C62BEF">
      <w:pPr>
        <w:bidi w:val="0"/>
        <w:jc w:val="center"/>
        <w:rPr>
          <w:b/>
          <w:bCs/>
          <w:i/>
          <w:iCs/>
          <w:sz w:val="26"/>
          <w:szCs w:val="26"/>
        </w:rPr>
      </w:pPr>
    </w:p>
    <w:p w:rsidR="00C62BEF" w:rsidRPr="000351C3" w:rsidRDefault="00C62BEF" w:rsidP="005F47CE">
      <w:pPr>
        <w:bidi w:val="0"/>
        <w:jc w:val="center"/>
        <w:rPr>
          <w:noProof/>
          <w:sz w:val="22"/>
          <w:szCs w:val="22"/>
        </w:rPr>
      </w:pPr>
      <w:r w:rsidRPr="000351C3">
        <w:rPr>
          <w:b/>
          <w:bCs/>
          <w:sz w:val="22"/>
          <w:szCs w:val="22"/>
        </w:rPr>
        <w:t>Table 20.</w:t>
      </w:r>
      <w:r w:rsidR="005F47CE">
        <w:rPr>
          <w:b/>
          <w:bCs/>
          <w:sz w:val="22"/>
          <w:szCs w:val="22"/>
        </w:rPr>
        <w:t>3</w:t>
      </w:r>
      <w:r w:rsidRPr="000351C3">
        <w:rPr>
          <w:b/>
          <w:bCs/>
          <w:sz w:val="22"/>
          <w:szCs w:val="22"/>
        </w:rPr>
        <w:t xml:space="preserve"> – Notifiable disease cases</w:t>
      </w:r>
    </w:p>
    <w:tbl>
      <w:tblPr>
        <w:tblStyle w:val="TableGrid"/>
        <w:tblW w:w="911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699"/>
        <w:gridCol w:w="805"/>
        <w:gridCol w:w="2827"/>
        <w:gridCol w:w="2783"/>
      </w:tblGrid>
      <w:tr w:rsidR="00C62BEF" w:rsidRPr="000351C3" w:rsidTr="00082380">
        <w:trPr>
          <w:jc w:val="center"/>
        </w:trPr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</w:tcPr>
          <w:p w:rsidR="00C62BEF" w:rsidRPr="000351C3" w:rsidRDefault="00C62BEF" w:rsidP="00C62BEF">
            <w:pPr>
              <w:bidi w:val="0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Category</w:t>
            </w:r>
          </w:p>
        </w:tc>
        <w:tc>
          <w:tcPr>
            <w:tcW w:w="805" w:type="dxa"/>
            <w:tcBorders>
              <w:top w:val="single" w:sz="12" w:space="0" w:color="auto"/>
              <w:bottom w:val="single" w:sz="12" w:space="0" w:color="auto"/>
            </w:tcBorders>
          </w:tcPr>
          <w:p w:rsidR="00C62BEF" w:rsidRPr="000351C3" w:rsidRDefault="00C62BEF" w:rsidP="00C62BEF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Cases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</w:tcPr>
          <w:p w:rsidR="00C62BEF" w:rsidRPr="000351C3" w:rsidRDefault="00C62BEF" w:rsidP="00C62BEF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Peak disease. % of total cases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12" w:space="0" w:color="auto"/>
            </w:tcBorders>
          </w:tcPr>
          <w:p w:rsidR="00C62BEF" w:rsidRPr="000351C3" w:rsidRDefault="00C62BEF" w:rsidP="00C62BEF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Peak month. % of total cases</w:t>
            </w:r>
          </w:p>
        </w:tc>
      </w:tr>
      <w:tr w:rsidR="00C62BEF" w:rsidRPr="000351C3" w:rsidTr="00082380">
        <w:trPr>
          <w:jc w:val="center"/>
        </w:trPr>
        <w:tc>
          <w:tcPr>
            <w:tcW w:w="2699" w:type="dxa"/>
            <w:tcBorders>
              <w:top w:val="single" w:sz="12" w:space="0" w:color="auto"/>
            </w:tcBorders>
          </w:tcPr>
          <w:p w:rsidR="00C62BEF" w:rsidRPr="000351C3" w:rsidRDefault="00C62BEF" w:rsidP="00C62BEF">
            <w:pPr>
              <w:bidi w:val="0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Vaccine preventable diseases</w:t>
            </w:r>
          </w:p>
        </w:tc>
        <w:tc>
          <w:tcPr>
            <w:tcW w:w="805" w:type="dxa"/>
            <w:tcBorders>
              <w:top w:val="single" w:sz="12" w:space="0" w:color="auto"/>
            </w:tcBorders>
          </w:tcPr>
          <w:p w:rsidR="00C62BEF" w:rsidRPr="000351C3" w:rsidRDefault="000351C3" w:rsidP="00C62BEF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noProof/>
                <w:sz w:val="16"/>
                <w:szCs w:val="16"/>
              </w:rPr>
              <w:t>345</w:t>
            </w:r>
          </w:p>
        </w:tc>
        <w:tc>
          <w:tcPr>
            <w:tcW w:w="2827" w:type="dxa"/>
            <w:tcBorders>
              <w:top w:val="single" w:sz="12" w:space="0" w:color="auto"/>
            </w:tcBorders>
          </w:tcPr>
          <w:p w:rsidR="00C62BEF" w:rsidRPr="000351C3" w:rsidRDefault="00C62BEF" w:rsidP="000351C3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Viral hepatitis B (</w:t>
            </w:r>
            <w:r w:rsidR="000351C3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70.7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C62BEF" w:rsidRPr="000351C3" w:rsidRDefault="00C62BEF" w:rsidP="000351C3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noProof/>
                <w:sz w:val="16"/>
                <w:szCs w:val="16"/>
              </w:rPr>
              <w:t>April (</w:t>
            </w:r>
            <w:r w:rsidR="000351C3" w:rsidRPr="000351C3">
              <w:rPr>
                <w:noProof/>
                <w:sz w:val="16"/>
                <w:szCs w:val="16"/>
              </w:rPr>
              <w:t>11</w:t>
            </w:r>
            <w:r w:rsidRPr="000351C3">
              <w:rPr>
                <w:noProof/>
                <w:sz w:val="16"/>
                <w:szCs w:val="16"/>
              </w:rPr>
              <w:t>.</w:t>
            </w:r>
            <w:r w:rsidR="000351C3" w:rsidRPr="000351C3">
              <w:rPr>
                <w:noProof/>
                <w:sz w:val="16"/>
                <w:szCs w:val="16"/>
              </w:rPr>
              <w:t>3</w:t>
            </w:r>
            <w:r w:rsidRPr="000351C3">
              <w:rPr>
                <w:noProof/>
                <w:sz w:val="16"/>
                <w:szCs w:val="16"/>
              </w:rPr>
              <w:t>)</w:t>
            </w:r>
          </w:p>
        </w:tc>
      </w:tr>
      <w:tr w:rsidR="00C62BEF" w:rsidRPr="000351C3" w:rsidTr="00082380">
        <w:trPr>
          <w:jc w:val="center"/>
        </w:trPr>
        <w:tc>
          <w:tcPr>
            <w:tcW w:w="2699" w:type="dxa"/>
          </w:tcPr>
          <w:p w:rsidR="00C62BEF" w:rsidRPr="000351C3" w:rsidRDefault="00C62BEF" w:rsidP="00C62BEF">
            <w:pPr>
              <w:bidi w:val="0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Food and water borne diseases</w:t>
            </w:r>
          </w:p>
        </w:tc>
        <w:tc>
          <w:tcPr>
            <w:tcW w:w="805" w:type="dxa"/>
          </w:tcPr>
          <w:p w:rsidR="00C62BEF" w:rsidRPr="000351C3" w:rsidRDefault="000351C3" w:rsidP="00C62BEF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noProof/>
                <w:sz w:val="16"/>
                <w:szCs w:val="16"/>
              </w:rPr>
              <w:t>1,967</w:t>
            </w:r>
          </w:p>
        </w:tc>
        <w:tc>
          <w:tcPr>
            <w:tcW w:w="2827" w:type="dxa"/>
          </w:tcPr>
          <w:p w:rsidR="00C62BEF" w:rsidRPr="000351C3" w:rsidRDefault="000351C3" w:rsidP="000351C3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 xml:space="preserve">Typhoid fever </w:t>
            </w:r>
            <w:r w:rsidR="00C62BEF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(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29</w:t>
            </w:r>
            <w:r w:rsidR="00C62BEF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.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1</w:t>
            </w:r>
            <w:r w:rsidR="00C62BEF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  <w:tc>
          <w:tcPr>
            <w:tcW w:w="2783" w:type="dxa"/>
          </w:tcPr>
          <w:p w:rsidR="00C62BEF" w:rsidRPr="000351C3" w:rsidRDefault="000351C3" w:rsidP="000351C3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August</w:t>
            </w:r>
            <w:r w:rsidR="00C62BEF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 xml:space="preserve"> (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19</w:t>
            </w:r>
            <w:r w:rsidR="00C62BEF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.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6</w:t>
            </w:r>
            <w:r w:rsidR="00C62BEF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%)</w:t>
            </w:r>
          </w:p>
        </w:tc>
      </w:tr>
      <w:tr w:rsidR="00C62BEF" w:rsidRPr="000351C3" w:rsidTr="00082380">
        <w:trPr>
          <w:jc w:val="center"/>
        </w:trPr>
        <w:tc>
          <w:tcPr>
            <w:tcW w:w="2699" w:type="dxa"/>
          </w:tcPr>
          <w:p w:rsidR="00C62BEF" w:rsidRPr="000351C3" w:rsidRDefault="00C62BEF" w:rsidP="00C62BEF">
            <w:pPr>
              <w:bidi w:val="0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Other diseases</w:t>
            </w:r>
          </w:p>
        </w:tc>
        <w:tc>
          <w:tcPr>
            <w:tcW w:w="805" w:type="dxa"/>
          </w:tcPr>
          <w:p w:rsidR="00C62BEF" w:rsidRPr="000351C3" w:rsidRDefault="000351C3" w:rsidP="00C62BEF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403</w:t>
            </w:r>
          </w:p>
        </w:tc>
        <w:tc>
          <w:tcPr>
            <w:tcW w:w="2827" w:type="dxa"/>
          </w:tcPr>
          <w:p w:rsidR="00C62BEF" w:rsidRPr="000351C3" w:rsidRDefault="00C62BEF" w:rsidP="000351C3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Meningits (</w:t>
            </w:r>
            <w:r w:rsidR="000351C3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45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.</w:t>
            </w:r>
            <w:r w:rsidR="000351C3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3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  <w:tc>
          <w:tcPr>
            <w:tcW w:w="2783" w:type="dxa"/>
          </w:tcPr>
          <w:p w:rsidR="00C62BEF" w:rsidRPr="000351C3" w:rsidRDefault="00C62BEF" w:rsidP="000351C3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April (1</w:t>
            </w:r>
            <w:r w:rsidR="000351C3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1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.</w:t>
            </w:r>
            <w:r w:rsidR="000351C3"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7</w:t>
            </w: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)</w:t>
            </w:r>
          </w:p>
        </w:tc>
      </w:tr>
    </w:tbl>
    <w:p w:rsidR="00C62BEF" w:rsidRPr="00FE515B" w:rsidRDefault="00C62BEF" w:rsidP="000351C3">
      <w:pPr>
        <w:bidi w:val="0"/>
        <w:jc w:val="center"/>
        <w:rPr>
          <w:i/>
          <w:iCs/>
          <w:sz w:val="20"/>
          <w:szCs w:val="20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Pr="0052155A">
        <w:rPr>
          <w:i/>
          <w:iCs/>
          <w:sz w:val="18"/>
          <w:szCs w:val="18"/>
        </w:rPr>
        <w:t>Ministry of Public Health</w:t>
      </w:r>
      <w:r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0351C3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C62BEF" w:rsidRDefault="00C62BEF" w:rsidP="00C62BEF">
      <w:pPr>
        <w:bidi w:val="0"/>
        <w:jc w:val="both"/>
        <w:rPr>
          <w:noProof/>
          <w:sz w:val="22"/>
          <w:szCs w:val="22"/>
        </w:rPr>
      </w:pPr>
    </w:p>
    <w:p w:rsidR="00C62BEF" w:rsidRDefault="00C62BEF" w:rsidP="00C62BEF">
      <w:pPr>
        <w:bidi w:val="0"/>
        <w:jc w:val="both"/>
        <w:rPr>
          <w:noProof/>
          <w:sz w:val="22"/>
          <w:szCs w:val="22"/>
        </w:rPr>
      </w:pPr>
    </w:p>
    <w:p w:rsidR="00C62BEF" w:rsidRPr="008A72FA" w:rsidRDefault="00C62BEF" w:rsidP="00C62BEF">
      <w:pPr>
        <w:bidi w:val="0"/>
        <w:jc w:val="center"/>
        <w:rPr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Reported cases by age and sex</w:t>
      </w:r>
    </w:p>
    <w:p w:rsidR="00C62BEF" w:rsidRDefault="00C62BEF" w:rsidP="000351C3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In </w:t>
      </w:r>
      <w:r w:rsidR="000351C3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>, there are three types of notifiable diseases cases.</w:t>
      </w:r>
    </w:p>
    <w:p w:rsidR="00C62BEF" w:rsidRDefault="00C62BEF" w:rsidP="00C62BEF">
      <w:pPr>
        <w:bidi w:val="0"/>
        <w:jc w:val="center"/>
        <w:rPr>
          <w:b/>
          <w:bCs/>
          <w:i/>
          <w:iCs/>
          <w:sz w:val="26"/>
          <w:szCs w:val="26"/>
        </w:rPr>
      </w:pPr>
    </w:p>
    <w:p w:rsidR="00C62BEF" w:rsidRPr="000351C3" w:rsidRDefault="00C62BEF" w:rsidP="005F47CE">
      <w:pPr>
        <w:bidi w:val="0"/>
        <w:jc w:val="center"/>
        <w:rPr>
          <w:noProof/>
          <w:sz w:val="22"/>
          <w:szCs w:val="22"/>
        </w:rPr>
      </w:pPr>
      <w:r w:rsidRPr="000351C3">
        <w:rPr>
          <w:b/>
          <w:bCs/>
          <w:sz w:val="22"/>
          <w:szCs w:val="22"/>
        </w:rPr>
        <w:t>Table 20.</w:t>
      </w:r>
      <w:r w:rsidR="005F47CE">
        <w:rPr>
          <w:b/>
          <w:bCs/>
          <w:sz w:val="22"/>
          <w:szCs w:val="22"/>
        </w:rPr>
        <w:t>4</w:t>
      </w:r>
      <w:r w:rsidRPr="000351C3">
        <w:rPr>
          <w:b/>
          <w:bCs/>
          <w:sz w:val="22"/>
          <w:szCs w:val="22"/>
        </w:rPr>
        <w:t xml:space="preserve"> – Notifiable disease cases by age and sex</w:t>
      </w:r>
    </w:p>
    <w:tbl>
      <w:tblPr>
        <w:tblStyle w:val="TableGrid"/>
        <w:tblW w:w="721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295"/>
        <w:gridCol w:w="779"/>
        <w:gridCol w:w="2160"/>
        <w:gridCol w:w="1980"/>
      </w:tblGrid>
      <w:tr w:rsidR="00AA78A8" w:rsidRPr="000351C3" w:rsidTr="00AA78A8">
        <w:trPr>
          <w:jc w:val="center"/>
        </w:trPr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</w:tcPr>
          <w:p w:rsidR="00AA78A8" w:rsidRPr="000351C3" w:rsidRDefault="00AA78A8" w:rsidP="00C62BEF">
            <w:pPr>
              <w:bidi w:val="0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Category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</w:tcPr>
          <w:p w:rsidR="00AA78A8" w:rsidRPr="000351C3" w:rsidRDefault="00AA78A8" w:rsidP="00C62BEF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Cases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AA78A8" w:rsidRPr="000351C3" w:rsidRDefault="00AA78A8" w:rsidP="008C6493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Peak age. % of total cases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AA78A8" w:rsidRPr="000351C3" w:rsidRDefault="00AA78A8" w:rsidP="008C6493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0351C3">
              <w:rPr>
                <w:b/>
                <w:bCs/>
                <w:noProof/>
                <w:sz w:val="16"/>
                <w:szCs w:val="16"/>
              </w:rPr>
              <w:t>Females. % of total cases</w:t>
            </w:r>
          </w:p>
        </w:tc>
      </w:tr>
      <w:tr w:rsidR="00AA78A8" w:rsidRPr="000351C3" w:rsidTr="00AA78A8">
        <w:trPr>
          <w:jc w:val="center"/>
        </w:trPr>
        <w:tc>
          <w:tcPr>
            <w:tcW w:w="2295" w:type="dxa"/>
            <w:tcBorders>
              <w:top w:val="single" w:sz="12" w:space="0" w:color="auto"/>
            </w:tcBorders>
          </w:tcPr>
          <w:p w:rsidR="00AA78A8" w:rsidRPr="000351C3" w:rsidRDefault="00AA78A8" w:rsidP="00C62BEF">
            <w:pPr>
              <w:bidi w:val="0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Vaccine preventable diseases</w:t>
            </w:r>
          </w:p>
        </w:tc>
        <w:tc>
          <w:tcPr>
            <w:tcW w:w="779" w:type="dxa"/>
            <w:tcBorders>
              <w:top w:val="single" w:sz="12" w:space="0" w:color="auto"/>
            </w:tcBorders>
          </w:tcPr>
          <w:p w:rsidR="00AA78A8" w:rsidRPr="000351C3" w:rsidRDefault="00AA78A8" w:rsidP="0010667E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noProof/>
                <w:sz w:val="16"/>
                <w:szCs w:val="16"/>
              </w:rPr>
              <w:t>345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AA78A8" w:rsidRPr="000351C3" w:rsidRDefault="00AA78A8" w:rsidP="00AA78A8">
            <w:pPr>
              <w:bidi w:val="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  <w:r w:rsidRPr="000351C3">
              <w:rPr>
                <w:noProof/>
                <w:sz w:val="16"/>
                <w:szCs w:val="16"/>
              </w:rPr>
              <w:t>0-</w:t>
            </w:r>
            <w:r>
              <w:rPr>
                <w:noProof/>
                <w:sz w:val="16"/>
                <w:szCs w:val="16"/>
              </w:rPr>
              <w:t>39</w:t>
            </w:r>
            <w:r w:rsidRPr="000351C3">
              <w:rPr>
                <w:noProof/>
                <w:sz w:val="16"/>
                <w:szCs w:val="16"/>
              </w:rPr>
              <w:t xml:space="preserve"> years (</w:t>
            </w:r>
            <w:r>
              <w:rPr>
                <w:noProof/>
                <w:sz w:val="16"/>
                <w:szCs w:val="16"/>
              </w:rPr>
              <w:t>32</w:t>
            </w:r>
            <w:r w:rsidRPr="000351C3">
              <w:rPr>
                <w:noProof/>
                <w:sz w:val="16"/>
                <w:szCs w:val="16"/>
              </w:rPr>
              <w:t>.</w:t>
            </w:r>
            <w:r>
              <w:rPr>
                <w:noProof/>
                <w:sz w:val="16"/>
                <w:szCs w:val="16"/>
              </w:rPr>
              <w:t>8</w:t>
            </w:r>
            <w:r w:rsidRPr="000351C3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AA78A8" w:rsidRPr="000351C3" w:rsidRDefault="00AA78A8" w:rsidP="008C6493">
            <w:pPr>
              <w:bidi w:val="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34.2</w:t>
            </w:r>
          </w:p>
        </w:tc>
      </w:tr>
      <w:tr w:rsidR="00AA78A8" w:rsidRPr="000351C3" w:rsidTr="00AA78A8">
        <w:trPr>
          <w:jc w:val="center"/>
        </w:trPr>
        <w:tc>
          <w:tcPr>
            <w:tcW w:w="2295" w:type="dxa"/>
          </w:tcPr>
          <w:p w:rsidR="00AA78A8" w:rsidRPr="000351C3" w:rsidRDefault="00AA78A8" w:rsidP="00C62BEF">
            <w:pPr>
              <w:bidi w:val="0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Food and water borne diseases</w:t>
            </w:r>
          </w:p>
        </w:tc>
        <w:tc>
          <w:tcPr>
            <w:tcW w:w="779" w:type="dxa"/>
          </w:tcPr>
          <w:p w:rsidR="00AA78A8" w:rsidRPr="000351C3" w:rsidRDefault="00AA78A8" w:rsidP="0010667E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noProof/>
                <w:sz w:val="16"/>
                <w:szCs w:val="16"/>
              </w:rPr>
              <w:t>1,967</w:t>
            </w:r>
          </w:p>
        </w:tc>
        <w:tc>
          <w:tcPr>
            <w:tcW w:w="2160" w:type="dxa"/>
            <w:vAlign w:val="center"/>
          </w:tcPr>
          <w:p w:rsidR="00AA78A8" w:rsidRPr="000351C3" w:rsidRDefault="00AA78A8" w:rsidP="00AA78A8">
            <w:pPr>
              <w:bidi w:val="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  <w:r w:rsidRPr="000351C3">
              <w:rPr>
                <w:noProof/>
                <w:sz w:val="16"/>
                <w:szCs w:val="16"/>
              </w:rPr>
              <w:t>0-</w:t>
            </w:r>
            <w:r>
              <w:rPr>
                <w:noProof/>
                <w:sz w:val="16"/>
                <w:szCs w:val="16"/>
              </w:rPr>
              <w:t>39</w:t>
            </w:r>
            <w:r w:rsidRPr="000351C3">
              <w:rPr>
                <w:noProof/>
                <w:sz w:val="16"/>
                <w:szCs w:val="16"/>
              </w:rPr>
              <w:t xml:space="preserve"> years (</w:t>
            </w:r>
            <w:r>
              <w:rPr>
                <w:noProof/>
                <w:sz w:val="16"/>
                <w:szCs w:val="16"/>
              </w:rPr>
              <w:t>26.6</w:t>
            </w:r>
            <w:r w:rsidRPr="000351C3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980" w:type="dxa"/>
            <w:vAlign w:val="center"/>
          </w:tcPr>
          <w:p w:rsidR="00AA78A8" w:rsidRPr="000351C3" w:rsidRDefault="00AA78A8" w:rsidP="008C6493">
            <w:pPr>
              <w:bidi w:val="0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48.2</w:t>
            </w:r>
          </w:p>
        </w:tc>
      </w:tr>
      <w:tr w:rsidR="00AA78A8" w:rsidRPr="000351C3" w:rsidTr="00AA78A8">
        <w:trPr>
          <w:jc w:val="center"/>
        </w:trPr>
        <w:tc>
          <w:tcPr>
            <w:tcW w:w="2295" w:type="dxa"/>
          </w:tcPr>
          <w:p w:rsidR="00AA78A8" w:rsidRPr="000351C3" w:rsidRDefault="00AA78A8" w:rsidP="00C62BEF">
            <w:pPr>
              <w:bidi w:val="0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Other diseases</w:t>
            </w:r>
          </w:p>
        </w:tc>
        <w:tc>
          <w:tcPr>
            <w:tcW w:w="779" w:type="dxa"/>
          </w:tcPr>
          <w:p w:rsidR="00AA78A8" w:rsidRPr="000351C3" w:rsidRDefault="00AA78A8" w:rsidP="0010667E">
            <w:pPr>
              <w:bidi w:val="0"/>
              <w:jc w:val="right"/>
              <w:rPr>
                <w:noProof/>
                <w:sz w:val="16"/>
                <w:szCs w:val="16"/>
              </w:rPr>
            </w:pPr>
            <w:r w:rsidRPr="000351C3">
              <w:rPr>
                <w:rFonts w:asciiTheme="majorBidi" w:hAnsiTheme="majorBidi" w:cstheme="majorBidi"/>
                <w:noProof/>
                <w:sz w:val="16"/>
                <w:szCs w:val="16"/>
              </w:rPr>
              <w:t>403</w:t>
            </w:r>
          </w:p>
        </w:tc>
        <w:tc>
          <w:tcPr>
            <w:tcW w:w="2160" w:type="dxa"/>
            <w:vAlign w:val="center"/>
          </w:tcPr>
          <w:p w:rsidR="00AA78A8" w:rsidRPr="000351C3" w:rsidRDefault="00AA78A8" w:rsidP="00AA78A8">
            <w:pPr>
              <w:bidi w:val="0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  <w:r w:rsidRPr="000351C3">
              <w:rPr>
                <w:noProof/>
                <w:sz w:val="16"/>
                <w:szCs w:val="16"/>
              </w:rPr>
              <w:t>0-</w:t>
            </w:r>
            <w:r>
              <w:rPr>
                <w:noProof/>
                <w:sz w:val="16"/>
                <w:szCs w:val="16"/>
              </w:rPr>
              <w:t>39</w:t>
            </w:r>
            <w:r w:rsidRPr="000351C3">
              <w:rPr>
                <w:noProof/>
                <w:sz w:val="16"/>
                <w:szCs w:val="16"/>
              </w:rPr>
              <w:t xml:space="preserve"> years (</w:t>
            </w:r>
            <w:r>
              <w:rPr>
                <w:noProof/>
                <w:sz w:val="16"/>
                <w:szCs w:val="16"/>
              </w:rPr>
              <w:t>24.3</w:t>
            </w:r>
            <w:r w:rsidRPr="000351C3"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1980" w:type="dxa"/>
            <w:vAlign w:val="center"/>
          </w:tcPr>
          <w:p w:rsidR="00AA78A8" w:rsidRPr="000351C3" w:rsidRDefault="00AA78A8" w:rsidP="008C6493">
            <w:pPr>
              <w:bidi w:val="0"/>
              <w:jc w:val="right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t>35.2</w:t>
            </w:r>
          </w:p>
        </w:tc>
      </w:tr>
    </w:tbl>
    <w:p w:rsidR="00C62BEF" w:rsidRPr="00FE515B" w:rsidRDefault="00C62BEF" w:rsidP="000351C3">
      <w:pPr>
        <w:bidi w:val="0"/>
        <w:jc w:val="center"/>
        <w:rPr>
          <w:i/>
          <w:iCs/>
          <w:sz w:val="20"/>
          <w:szCs w:val="20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Pr="0052155A">
        <w:rPr>
          <w:i/>
          <w:iCs/>
          <w:sz w:val="18"/>
          <w:szCs w:val="18"/>
        </w:rPr>
        <w:t>Ministry of Public Health</w:t>
      </w:r>
      <w:r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0351C3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667CFC" w:rsidRPr="00FF61F1" w:rsidRDefault="00667CFC" w:rsidP="00667CFC">
      <w:pPr>
        <w:bidi w:val="0"/>
        <w:jc w:val="both"/>
        <w:rPr>
          <w:noProof/>
          <w:sz w:val="22"/>
          <w:szCs w:val="22"/>
        </w:rPr>
      </w:pPr>
    </w:p>
    <w:p w:rsidR="00730F27" w:rsidRPr="008A72FA" w:rsidRDefault="00730F27" w:rsidP="00730F27">
      <w:pPr>
        <w:bidi w:val="0"/>
        <w:jc w:val="center"/>
        <w:rPr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lastRenderedPageBreak/>
        <w:t>Reported cases by Mohafzat</w:t>
      </w:r>
    </w:p>
    <w:p w:rsidR="00730F27" w:rsidRDefault="00730F27" w:rsidP="00AA78A8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In </w:t>
      </w:r>
      <w:r w:rsidR="00AA78A8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>, there are three types of notifiable diseases cases.</w:t>
      </w:r>
    </w:p>
    <w:p w:rsidR="00730F27" w:rsidRDefault="00730F27" w:rsidP="00730F27">
      <w:pPr>
        <w:bidi w:val="0"/>
        <w:jc w:val="center"/>
        <w:rPr>
          <w:b/>
          <w:bCs/>
          <w:i/>
          <w:iCs/>
          <w:sz w:val="26"/>
          <w:szCs w:val="26"/>
        </w:rPr>
      </w:pPr>
    </w:p>
    <w:p w:rsidR="00730F27" w:rsidRPr="005208A9" w:rsidRDefault="00730F27" w:rsidP="005208A9">
      <w:pPr>
        <w:bidi w:val="0"/>
        <w:jc w:val="center"/>
        <w:rPr>
          <w:noProof/>
          <w:sz w:val="22"/>
          <w:szCs w:val="22"/>
        </w:rPr>
      </w:pPr>
      <w:r w:rsidRPr="005208A9">
        <w:rPr>
          <w:b/>
          <w:bCs/>
          <w:sz w:val="22"/>
          <w:szCs w:val="22"/>
        </w:rPr>
        <w:t>Table 20.</w:t>
      </w:r>
      <w:r w:rsidR="005208A9">
        <w:rPr>
          <w:b/>
          <w:bCs/>
          <w:sz w:val="22"/>
          <w:szCs w:val="22"/>
        </w:rPr>
        <w:t>4</w:t>
      </w:r>
      <w:r w:rsidRPr="005208A9">
        <w:rPr>
          <w:b/>
          <w:bCs/>
          <w:sz w:val="22"/>
          <w:szCs w:val="22"/>
        </w:rPr>
        <w:t xml:space="preserve"> – Notifiable disease cases by age and sex</w:t>
      </w:r>
    </w:p>
    <w:tbl>
      <w:tblPr>
        <w:tblStyle w:val="TableGrid"/>
        <w:tblW w:w="6123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2295"/>
        <w:gridCol w:w="779"/>
        <w:gridCol w:w="3049"/>
      </w:tblGrid>
      <w:tr w:rsidR="005208A9" w:rsidRPr="000B05A5" w:rsidTr="005208A9">
        <w:trPr>
          <w:jc w:val="center"/>
        </w:trPr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</w:tcPr>
          <w:p w:rsidR="005208A9" w:rsidRPr="000B05A5" w:rsidRDefault="005208A9" w:rsidP="00105935">
            <w:pPr>
              <w:bidi w:val="0"/>
              <w:rPr>
                <w:b/>
                <w:bCs/>
                <w:noProof/>
                <w:sz w:val="20"/>
                <w:szCs w:val="20"/>
              </w:rPr>
            </w:pPr>
            <w:r w:rsidRPr="000B05A5">
              <w:rPr>
                <w:b/>
                <w:bCs/>
                <w:noProof/>
                <w:sz w:val="20"/>
                <w:szCs w:val="20"/>
              </w:rPr>
              <w:t>Category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</w:tcPr>
          <w:p w:rsidR="005208A9" w:rsidRPr="000B05A5" w:rsidRDefault="005208A9" w:rsidP="00105935">
            <w:pPr>
              <w:bidi w:val="0"/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0B05A5">
              <w:rPr>
                <w:b/>
                <w:bCs/>
                <w:noProof/>
                <w:sz w:val="20"/>
                <w:szCs w:val="20"/>
              </w:rPr>
              <w:t>Cases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12" w:space="0" w:color="auto"/>
            </w:tcBorders>
          </w:tcPr>
          <w:p w:rsidR="005208A9" w:rsidRPr="000B05A5" w:rsidRDefault="005208A9" w:rsidP="00730F27">
            <w:pPr>
              <w:bidi w:val="0"/>
              <w:jc w:val="right"/>
              <w:rPr>
                <w:b/>
                <w:bCs/>
                <w:noProof/>
                <w:sz w:val="20"/>
                <w:szCs w:val="20"/>
              </w:rPr>
            </w:pPr>
            <w:r w:rsidRPr="000B05A5">
              <w:rPr>
                <w:b/>
                <w:bCs/>
                <w:noProof/>
                <w:sz w:val="20"/>
                <w:szCs w:val="20"/>
              </w:rPr>
              <w:t>Peak Mohafzat. % of total cases</w:t>
            </w:r>
          </w:p>
        </w:tc>
      </w:tr>
      <w:tr w:rsidR="005208A9" w:rsidRPr="000B05A5" w:rsidTr="005208A9">
        <w:trPr>
          <w:jc w:val="center"/>
        </w:trPr>
        <w:tc>
          <w:tcPr>
            <w:tcW w:w="2295" w:type="dxa"/>
            <w:tcBorders>
              <w:top w:val="single" w:sz="12" w:space="0" w:color="auto"/>
            </w:tcBorders>
          </w:tcPr>
          <w:p w:rsidR="005208A9" w:rsidRPr="000B05A5" w:rsidRDefault="005208A9" w:rsidP="00105935">
            <w:pPr>
              <w:bidi w:val="0"/>
              <w:rPr>
                <w:noProof/>
                <w:sz w:val="20"/>
                <w:szCs w:val="20"/>
              </w:rPr>
            </w:pP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Vaccine preventable diseases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5208A9" w:rsidRPr="000B05A5" w:rsidRDefault="005208A9" w:rsidP="00105935">
            <w:pPr>
              <w:bidi w:val="0"/>
              <w:jc w:val="right"/>
              <w:rPr>
                <w:noProof/>
                <w:sz w:val="20"/>
                <w:szCs w:val="20"/>
              </w:rPr>
            </w:pPr>
            <w:r w:rsidRPr="000B05A5">
              <w:rPr>
                <w:noProof/>
                <w:sz w:val="20"/>
                <w:szCs w:val="20"/>
              </w:rPr>
              <w:t>475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:rsidR="005208A9" w:rsidRPr="000B05A5" w:rsidRDefault="005208A9" w:rsidP="005208A9">
            <w:pPr>
              <w:bidi w:val="0"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Mount-</w:t>
            </w:r>
            <w:r w:rsidRPr="000B05A5">
              <w:rPr>
                <w:noProof/>
                <w:sz w:val="20"/>
                <w:szCs w:val="20"/>
              </w:rPr>
              <w:t xml:space="preserve"> Lebanon (2</w:t>
            </w:r>
            <w:r>
              <w:rPr>
                <w:noProof/>
                <w:sz w:val="20"/>
                <w:szCs w:val="20"/>
              </w:rPr>
              <w:t>9</w:t>
            </w:r>
            <w:r w:rsidRPr="000B05A5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0</w:t>
            </w:r>
            <w:r w:rsidRPr="000B05A5">
              <w:rPr>
                <w:noProof/>
                <w:sz w:val="20"/>
                <w:szCs w:val="20"/>
              </w:rPr>
              <w:t>)</w:t>
            </w:r>
          </w:p>
        </w:tc>
      </w:tr>
      <w:tr w:rsidR="005208A9" w:rsidRPr="000B05A5" w:rsidTr="005208A9">
        <w:trPr>
          <w:jc w:val="center"/>
        </w:trPr>
        <w:tc>
          <w:tcPr>
            <w:tcW w:w="2295" w:type="dxa"/>
          </w:tcPr>
          <w:p w:rsidR="005208A9" w:rsidRPr="000B05A5" w:rsidRDefault="005208A9" w:rsidP="00105935">
            <w:pPr>
              <w:bidi w:val="0"/>
              <w:rPr>
                <w:noProof/>
                <w:sz w:val="20"/>
                <w:szCs w:val="20"/>
              </w:rPr>
            </w:pP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Food and water borne diseases</w:t>
            </w:r>
          </w:p>
        </w:tc>
        <w:tc>
          <w:tcPr>
            <w:tcW w:w="779" w:type="dxa"/>
            <w:vAlign w:val="center"/>
          </w:tcPr>
          <w:p w:rsidR="005208A9" w:rsidRPr="000B05A5" w:rsidRDefault="005208A9" w:rsidP="00105935">
            <w:pPr>
              <w:bidi w:val="0"/>
              <w:jc w:val="right"/>
              <w:rPr>
                <w:noProof/>
                <w:sz w:val="20"/>
                <w:szCs w:val="20"/>
              </w:rPr>
            </w:pPr>
            <w:r w:rsidRPr="000B05A5">
              <w:rPr>
                <w:noProof/>
                <w:sz w:val="20"/>
                <w:szCs w:val="20"/>
              </w:rPr>
              <w:t>2,174</w:t>
            </w:r>
          </w:p>
        </w:tc>
        <w:tc>
          <w:tcPr>
            <w:tcW w:w="3049" w:type="dxa"/>
            <w:vAlign w:val="center"/>
          </w:tcPr>
          <w:p w:rsidR="005208A9" w:rsidRPr="000B05A5" w:rsidRDefault="005208A9" w:rsidP="005208A9">
            <w:pPr>
              <w:bidi w:val="0"/>
              <w:jc w:val="right"/>
              <w:rPr>
                <w:noProof/>
                <w:sz w:val="20"/>
                <w:szCs w:val="20"/>
              </w:rPr>
            </w:pP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Mount-Lebanon (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40.5</w:t>
            </w: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)</w:t>
            </w:r>
          </w:p>
        </w:tc>
      </w:tr>
      <w:tr w:rsidR="005208A9" w:rsidRPr="000B05A5" w:rsidTr="005208A9">
        <w:trPr>
          <w:jc w:val="center"/>
        </w:trPr>
        <w:tc>
          <w:tcPr>
            <w:tcW w:w="2295" w:type="dxa"/>
          </w:tcPr>
          <w:p w:rsidR="005208A9" w:rsidRPr="000B05A5" w:rsidRDefault="005208A9" w:rsidP="00105935">
            <w:pPr>
              <w:bidi w:val="0"/>
              <w:rPr>
                <w:noProof/>
                <w:sz w:val="20"/>
                <w:szCs w:val="20"/>
              </w:rPr>
            </w:pP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Other diseases</w:t>
            </w:r>
          </w:p>
        </w:tc>
        <w:tc>
          <w:tcPr>
            <w:tcW w:w="779" w:type="dxa"/>
            <w:vAlign w:val="center"/>
          </w:tcPr>
          <w:p w:rsidR="005208A9" w:rsidRPr="000B05A5" w:rsidRDefault="005208A9" w:rsidP="00105935">
            <w:pPr>
              <w:bidi w:val="0"/>
              <w:jc w:val="right"/>
              <w:rPr>
                <w:noProof/>
                <w:sz w:val="20"/>
                <w:szCs w:val="20"/>
              </w:rPr>
            </w:pP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391</w:t>
            </w:r>
          </w:p>
        </w:tc>
        <w:tc>
          <w:tcPr>
            <w:tcW w:w="3049" w:type="dxa"/>
            <w:vAlign w:val="center"/>
          </w:tcPr>
          <w:p w:rsidR="005208A9" w:rsidRPr="000B05A5" w:rsidRDefault="005208A9" w:rsidP="005208A9">
            <w:pPr>
              <w:bidi w:val="0"/>
              <w:jc w:val="right"/>
              <w:rPr>
                <w:noProof/>
                <w:sz w:val="20"/>
                <w:szCs w:val="20"/>
              </w:rPr>
            </w:pP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Mount-Lebanon (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32</w:t>
            </w: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  <w:r w:rsidRPr="000B05A5">
              <w:rPr>
                <w:rFonts w:asciiTheme="majorBidi" w:hAnsiTheme="majorBidi" w:cstheme="majorBidi"/>
                <w:noProof/>
                <w:sz w:val="20"/>
                <w:szCs w:val="20"/>
              </w:rPr>
              <w:t>)</w:t>
            </w:r>
          </w:p>
        </w:tc>
      </w:tr>
    </w:tbl>
    <w:p w:rsidR="00730F27" w:rsidRPr="00FE515B" w:rsidRDefault="00730F27" w:rsidP="008E0707">
      <w:pPr>
        <w:bidi w:val="0"/>
        <w:jc w:val="center"/>
        <w:rPr>
          <w:i/>
          <w:iCs/>
          <w:sz w:val="20"/>
          <w:szCs w:val="20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Pr="0052155A">
        <w:rPr>
          <w:i/>
          <w:iCs/>
          <w:sz w:val="18"/>
          <w:szCs w:val="18"/>
        </w:rPr>
        <w:t>Ministry of Public Health</w:t>
      </w:r>
      <w:r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8E0707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730F27" w:rsidRPr="00FF61F1" w:rsidRDefault="00730F27" w:rsidP="00730F27">
      <w:pPr>
        <w:bidi w:val="0"/>
        <w:jc w:val="both"/>
        <w:rPr>
          <w:noProof/>
          <w:sz w:val="22"/>
          <w:szCs w:val="22"/>
        </w:rPr>
      </w:pPr>
    </w:p>
    <w:p w:rsidR="007053D3" w:rsidRPr="00FF61F1" w:rsidRDefault="007053D3" w:rsidP="007053D3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Selected morbidity indicators</w:t>
      </w:r>
    </w:p>
    <w:p w:rsidR="007053D3" w:rsidRPr="00D42E8D" w:rsidRDefault="007053D3" w:rsidP="007053D3">
      <w:pPr>
        <w:bidi w:val="0"/>
        <w:jc w:val="center"/>
        <w:rPr>
          <w:b/>
          <w:bCs/>
          <w:noProof/>
          <w:sz w:val="26"/>
          <w:szCs w:val="26"/>
        </w:rPr>
      </w:pPr>
    </w:p>
    <w:p w:rsidR="007053D3" w:rsidRDefault="00A37A00" w:rsidP="005208A9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MOPH takes into account </w:t>
      </w:r>
      <w:r w:rsidR="000B05A5">
        <w:rPr>
          <w:noProof/>
          <w:sz w:val="22"/>
          <w:szCs w:val="22"/>
        </w:rPr>
        <w:t>five morbidity indicators for the period 2004-</w:t>
      </w:r>
      <w:r w:rsidR="005208A9">
        <w:rPr>
          <w:noProof/>
          <w:sz w:val="22"/>
          <w:szCs w:val="22"/>
        </w:rPr>
        <w:t>2010</w:t>
      </w:r>
      <w:r w:rsidR="000B05A5">
        <w:rPr>
          <w:noProof/>
          <w:sz w:val="22"/>
          <w:szCs w:val="22"/>
        </w:rPr>
        <w:t xml:space="preserve">. </w:t>
      </w:r>
    </w:p>
    <w:p w:rsidR="00667CFC" w:rsidRPr="00FF61F1" w:rsidRDefault="00667CFC" w:rsidP="00667CFC">
      <w:pPr>
        <w:bidi w:val="0"/>
        <w:jc w:val="both"/>
        <w:rPr>
          <w:noProof/>
          <w:sz w:val="22"/>
          <w:szCs w:val="22"/>
        </w:rPr>
      </w:pPr>
    </w:p>
    <w:p w:rsidR="000B05A5" w:rsidRPr="005F47CE" w:rsidRDefault="000B05A5" w:rsidP="005F47CE">
      <w:pPr>
        <w:bidi w:val="0"/>
        <w:jc w:val="center"/>
        <w:rPr>
          <w:noProof/>
          <w:sz w:val="22"/>
          <w:szCs w:val="22"/>
        </w:rPr>
      </w:pPr>
      <w:r w:rsidRPr="005F47CE">
        <w:rPr>
          <w:b/>
          <w:bCs/>
          <w:sz w:val="22"/>
          <w:szCs w:val="22"/>
        </w:rPr>
        <w:t>Table 20.</w:t>
      </w:r>
      <w:r w:rsidR="005F47CE" w:rsidRPr="005F47CE">
        <w:rPr>
          <w:b/>
          <w:bCs/>
          <w:sz w:val="22"/>
          <w:szCs w:val="22"/>
        </w:rPr>
        <w:t>5</w:t>
      </w:r>
      <w:r w:rsidRPr="005F47CE">
        <w:rPr>
          <w:b/>
          <w:bCs/>
          <w:sz w:val="22"/>
          <w:szCs w:val="22"/>
        </w:rPr>
        <w:t xml:space="preserve"> – Selected morbidity indicators</w:t>
      </w:r>
    </w:p>
    <w:tbl>
      <w:tblPr>
        <w:tblStyle w:val="TableGrid"/>
        <w:tblW w:w="835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655"/>
        <w:gridCol w:w="1472"/>
        <w:gridCol w:w="2183"/>
        <w:gridCol w:w="3049"/>
      </w:tblGrid>
      <w:tr w:rsidR="000B05A5" w:rsidRPr="005F47CE" w:rsidTr="00082380">
        <w:trPr>
          <w:jc w:val="center"/>
        </w:trPr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</w:tcPr>
          <w:p w:rsidR="000B05A5" w:rsidRPr="005F47CE" w:rsidRDefault="000B05A5" w:rsidP="00105935">
            <w:pPr>
              <w:bidi w:val="0"/>
              <w:rPr>
                <w:b/>
                <w:bCs/>
                <w:noProof/>
                <w:sz w:val="16"/>
                <w:szCs w:val="16"/>
              </w:rPr>
            </w:pPr>
            <w:r w:rsidRPr="005F47CE">
              <w:rPr>
                <w:b/>
                <w:bCs/>
                <w:noProof/>
                <w:sz w:val="16"/>
                <w:szCs w:val="16"/>
              </w:rPr>
              <w:t>Indicator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</w:tcPr>
          <w:p w:rsidR="000B05A5" w:rsidRPr="005F47CE" w:rsidRDefault="000B05A5" w:rsidP="00105935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5F47CE">
              <w:rPr>
                <w:b/>
                <w:bCs/>
                <w:noProof/>
                <w:sz w:val="16"/>
                <w:szCs w:val="16"/>
              </w:rPr>
              <w:t>Cases in 2004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</w:tcBorders>
          </w:tcPr>
          <w:p w:rsidR="000B05A5" w:rsidRPr="005F47CE" w:rsidRDefault="000B05A5" w:rsidP="005208A9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5F47CE">
              <w:rPr>
                <w:b/>
                <w:bCs/>
                <w:noProof/>
                <w:sz w:val="16"/>
                <w:szCs w:val="16"/>
              </w:rPr>
              <w:t xml:space="preserve">Cases in </w:t>
            </w:r>
            <w:r w:rsidR="005208A9" w:rsidRPr="005F47CE">
              <w:rPr>
                <w:b/>
                <w:bCs/>
                <w:noProof/>
                <w:sz w:val="16"/>
                <w:szCs w:val="16"/>
              </w:rPr>
              <w:t>2010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12" w:space="0" w:color="auto"/>
            </w:tcBorders>
          </w:tcPr>
          <w:p w:rsidR="000B05A5" w:rsidRPr="005F47CE" w:rsidRDefault="000B05A5" w:rsidP="005F47CE">
            <w:pPr>
              <w:bidi w:val="0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5F47CE">
              <w:rPr>
                <w:b/>
                <w:bCs/>
                <w:noProof/>
                <w:sz w:val="16"/>
                <w:szCs w:val="16"/>
              </w:rPr>
              <w:t>Change between 2004-</w:t>
            </w:r>
            <w:r w:rsidR="005F47CE" w:rsidRPr="005F47CE">
              <w:rPr>
                <w:b/>
                <w:bCs/>
                <w:noProof/>
                <w:sz w:val="16"/>
                <w:szCs w:val="16"/>
              </w:rPr>
              <w:t>2010</w:t>
            </w:r>
            <w:r w:rsidRPr="005F47CE">
              <w:rPr>
                <w:b/>
                <w:bCs/>
                <w:noProof/>
                <w:sz w:val="16"/>
                <w:szCs w:val="16"/>
              </w:rPr>
              <w:t xml:space="preserve">. </w:t>
            </w:r>
            <w:r w:rsidR="00D07015" w:rsidRPr="005F47CE">
              <w:rPr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5F47CE" w:rsidRPr="005F47CE" w:rsidTr="00082380">
        <w:trPr>
          <w:jc w:val="center"/>
        </w:trPr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:rsidR="005F47CE" w:rsidRPr="005F47CE" w:rsidRDefault="005F47CE">
            <w:pPr>
              <w:bidi w:val="0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Malaria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68</w:t>
            </w:r>
          </w:p>
        </w:tc>
        <w:tc>
          <w:tcPr>
            <w:tcW w:w="2183" w:type="dxa"/>
            <w:tcBorders>
              <w:top w:val="single" w:sz="12" w:space="0" w:color="auto"/>
            </w:tcBorders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66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(2.9)</w:t>
            </w:r>
          </w:p>
        </w:tc>
      </w:tr>
      <w:tr w:rsidR="005F47CE" w:rsidRPr="005F47CE" w:rsidTr="00082380">
        <w:trPr>
          <w:jc w:val="center"/>
        </w:trPr>
        <w:tc>
          <w:tcPr>
            <w:tcW w:w="1655" w:type="dxa"/>
            <w:vAlign w:val="center"/>
          </w:tcPr>
          <w:p w:rsidR="005F47CE" w:rsidRPr="005F47CE" w:rsidRDefault="005F47CE">
            <w:pPr>
              <w:bidi w:val="0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Measles</w:t>
            </w:r>
          </w:p>
        </w:tc>
        <w:tc>
          <w:tcPr>
            <w:tcW w:w="1472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261</w:t>
            </w:r>
          </w:p>
        </w:tc>
        <w:tc>
          <w:tcPr>
            <w:tcW w:w="2183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11</w:t>
            </w:r>
          </w:p>
        </w:tc>
        <w:tc>
          <w:tcPr>
            <w:tcW w:w="3049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(95.8)</w:t>
            </w:r>
          </w:p>
        </w:tc>
      </w:tr>
      <w:tr w:rsidR="005F47CE" w:rsidRPr="005F47CE" w:rsidTr="00082380">
        <w:trPr>
          <w:jc w:val="center"/>
        </w:trPr>
        <w:tc>
          <w:tcPr>
            <w:tcW w:w="1655" w:type="dxa"/>
            <w:vAlign w:val="center"/>
          </w:tcPr>
          <w:p w:rsidR="005F47CE" w:rsidRPr="005F47CE" w:rsidRDefault="005F47CE">
            <w:pPr>
              <w:bidi w:val="0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AIDS</w:t>
            </w:r>
          </w:p>
        </w:tc>
        <w:tc>
          <w:tcPr>
            <w:tcW w:w="1472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23</w:t>
            </w:r>
          </w:p>
        </w:tc>
        <w:tc>
          <w:tcPr>
            <w:tcW w:w="2183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21</w:t>
            </w:r>
          </w:p>
        </w:tc>
        <w:tc>
          <w:tcPr>
            <w:tcW w:w="3049" w:type="dxa"/>
            <w:vAlign w:val="center"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(8.7)</w:t>
            </w:r>
          </w:p>
        </w:tc>
      </w:tr>
      <w:tr w:rsidR="005F47CE" w:rsidRPr="005F47CE" w:rsidTr="00082380">
        <w:trPr>
          <w:jc w:val="center"/>
        </w:trPr>
        <w:tc>
          <w:tcPr>
            <w:tcW w:w="1655" w:type="dxa"/>
            <w:vAlign w:val="center"/>
          </w:tcPr>
          <w:p w:rsidR="005F47CE" w:rsidRPr="005F47CE" w:rsidRDefault="005F47CE">
            <w:pPr>
              <w:bidi w:val="0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Tetanus</w:t>
            </w:r>
          </w:p>
        </w:tc>
        <w:tc>
          <w:tcPr>
            <w:tcW w:w="1472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</w:t>
            </w:r>
          </w:p>
        </w:tc>
        <w:tc>
          <w:tcPr>
            <w:tcW w:w="2183" w:type="dxa"/>
            <w:vAlign w:val="center"/>
          </w:tcPr>
          <w:p w:rsidR="005F47CE" w:rsidRPr="005F47CE" w:rsidRDefault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2</w:t>
            </w:r>
          </w:p>
        </w:tc>
        <w:tc>
          <w:tcPr>
            <w:tcW w:w="3049" w:type="dxa"/>
            <w:vAlign w:val="center"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100.0</w:t>
            </w:r>
          </w:p>
        </w:tc>
      </w:tr>
    </w:tbl>
    <w:p w:rsidR="000B05A5" w:rsidRPr="00FE515B" w:rsidRDefault="000B05A5" w:rsidP="008E0707">
      <w:pPr>
        <w:bidi w:val="0"/>
        <w:jc w:val="center"/>
        <w:rPr>
          <w:i/>
          <w:iCs/>
          <w:sz w:val="20"/>
          <w:szCs w:val="20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Pr="0052155A">
        <w:rPr>
          <w:i/>
          <w:iCs/>
          <w:sz w:val="18"/>
          <w:szCs w:val="18"/>
        </w:rPr>
        <w:t>Ministry of Public Health</w:t>
      </w:r>
      <w:r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8E0707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667CFC" w:rsidRPr="00FF61F1" w:rsidRDefault="00667CFC" w:rsidP="00667CFC">
      <w:pPr>
        <w:bidi w:val="0"/>
        <w:rPr>
          <w:noProof/>
          <w:sz w:val="22"/>
          <w:szCs w:val="22"/>
        </w:rPr>
      </w:pPr>
    </w:p>
    <w:p w:rsidR="00667CFC" w:rsidRDefault="00667CFC" w:rsidP="00667CFC">
      <w:pPr>
        <w:bidi w:val="0"/>
        <w:rPr>
          <w:noProof/>
          <w:sz w:val="22"/>
          <w:szCs w:val="22"/>
        </w:rPr>
      </w:pPr>
    </w:p>
    <w:p w:rsidR="00667CFC" w:rsidRPr="001D4BE3" w:rsidRDefault="00082380" w:rsidP="00082380">
      <w:pPr>
        <w:bidi w:val="0"/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t>MOPH</w:t>
      </w:r>
      <w:r w:rsidR="001D4BE3" w:rsidRPr="001D4BE3">
        <w:rPr>
          <w:b/>
          <w:bCs/>
          <w:noProof/>
          <w:sz w:val="26"/>
          <w:szCs w:val="26"/>
        </w:rPr>
        <w:t xml:space="preserve"> itemized budget</w:t>
      </w:r>
    </w:p>
    <w:p w:rsidR="00082380" w:rsidRDefault="00082380" w:rsidP="00667CFC">
      <w:pPr>
        <w:bidi w:val="0"/>
        <w:rPr>
          <w:noProof/>
          <w:sz w:val="22"/>
          <w:szCs w:val="22"/>
        </w:rPr>
      </w:pPr>
    </w:p>
    <w:p w:rsidR="00667CFC" w:rsidRPr="00FF61F1" w:rsidRDefault="00082380" w:rsidP="005F47CE">
      <w:pPr>
        <w:bidi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MOPH itemized budget is studied for the period 2005-</w:t>
      </w:r>
      <w:r w:rsidR="005F47CE">
        <w:rPr>
          <w:noProof/>
          <w:sz w:val="22"/>
          <w:szCs w:val="22"/>
        </w:rPr>
        <w:t>2010</w:t>
      </w:r>
      <w:r>
        <w:rPr>
          <w:noProof/>
          <w:sz w:val="22"/>
          <w:szCs w:val="22"/>
        </w:rPr>
        <w:t>.</w:t>
      </w:r>
    </w:p>
    <w:p w:rsidR="00667CFC" w:rsidRPr="00FF61F1" w:rsidRDefault="00667CFC" w:rsidP="00667CFC">
      <w:pPr>
        <w:bidi w:val="0"/>
        <w:rPr>
          <w:noProof/>
          <w:sz w:val="22"/>
          <w:szCs w:val="22"/>
        </w:rPr>
      </w:pPr>
    </w:p>
    <w:p w:rsidR="00D07015" w:rsidRPr="005F47CE" w:rsidRDefault="00D07015" w:rsidP="005F47CE">
      <w:pPr>
        <w:bidi w:val="0"/>
        <w:jc w:val="center"/>
        <w:rPr>
          <w:noProof/>
          <w:sz w:val="22"/>
          <w:szCs w:val="22"/>
        </w:rPr>
      </w:pPr>
      <w:r w:rsidRPr="005F47CE">
        <w:rPr>
          <w:b/>
          <w:bCs/>
          <w:sz w:val="22"/>
          <w:szCs w:val="22"/>
        </w:rPr>
        <w:t>Table 20.</w:t>
      </w:r>
      <w:r w:rsidR="005F47CE">
        <w:rPr>
          <w:b/>
          <w:bCs/>
          <w:sz w:val="22"/>
          <w:szCs w:val="22"/>
        </w:rPr>
        <w:t>6</w:t>
      </w:r>
      <w:r w:rsidRPr="005F47CE">
        <w:rPr>
          <w:b/>
          <w:bCs/>
          <w:sz w:val="22"/>
          <w:szCs w:val="22"/>
        </w:rPr>
        <w:t xml:space="preserve"> – MOPH itemized budget</w:t>
      </w:r>
      <w:r w:rsidR="005F47CE" w:rsidRPr="005F47CE">
        <w:rPr>
          <w:b/>
          <w:bCs/>
          <w:sz w:val="22"/>
          <w:szCs w:val="22"/>
        </w:rPr>
        <w:t>. 1,000 LBP</w:t>
      </w:r>
    </w:p>
    <w:tbl>
      <w:tblPr>
        <w:tblW w:w="9955" w:type="dxa"/>
        <w:jc w:val="center"/>
        <w:tblInd w:w="576" w:type="dxa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Look w:val="04A0"/>
      </w:tblPr>
      <w:tblGrid>
        <w:gridCol w:w="2067"/>
        <w:gridCol w:w="1136"/>
        <w:gridCol w:w="1216"/>
        <w:gridCol w:w="1216"/>
        <w:gridCol w:w="1216"/>
        <w:gridCol w:w="1216"/>
        <w:gridCol w:w="1091"/>
        <w:gridCol w:w="797"/>
      </w:tblGrid>
      <w:tr w:rsidR="005F47CE" w:rsidRPr="005F47CE" w:rsidTr="005F47CE">
        <w:trPr>
          <w:trHeight w:val="525"/>
          <w:jc w:val="center"/>
        </w:trPr>
        <w:tc>
          <w:tcPr>
            <w:tcW w:w="20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Item</w:t>
            </w: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2005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2006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2007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2008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2009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2010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Change between 2005-</w:t>
            </w: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2010</w:t>
            </w:r>
            <w:r w:rsidRPr="005F47C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. %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Hospitalization in private sector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241,357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238,875,000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25,000,000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256,000,000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305,000,000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320,000,000 </w:t>
            </w:r>
          </w:p>
        </w:tc>
        <w:tc>
          <w:tcPr>
            <w:tcW w:w="79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132,484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Publics hospitals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12,054,000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15,000,000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15,000,000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12,000,000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12,000,000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(40)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Drugs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44,880,000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48,000,000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52,500,000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66,000,000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91,000,000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103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Contributions to NGOs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10,893,000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13,417,770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12,617,770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12,817,770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12,817,770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12,817,770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18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Salaries and other employees' benefits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24,730,000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24,535,092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24,173,000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24,052,860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27,522,100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27,472,900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11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Other expenses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8,644,000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9,189,638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7,950,800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11,047,403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13,936,228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18,593,039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115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Central laboratory (part 1)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1,198,000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1,145,500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990,100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992,192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948,500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977,500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(18)</w:t>
            </w:r>
          </w:p>
        </w:tc>
      </w:tr>
      <w:tr w:rsidR="005F47CE" w:rsidRPr="005F47CE" w:rsidTr="005F47CE">
        <w:trPr>
          <w:trHeight w:val="300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Part Two (Central laboratory and MOPH)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8,598,000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1,572,000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1,507,000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1,523,000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3,797,000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(56)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Total budget of MOPH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360,300,000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348,789,000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361,631,670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373,917,225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439,747,598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486,658,209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35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Total government budget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11,195,000,000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11,840,000,000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11,475,000,000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16,304,000,000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19,537,600,000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195,276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Government debt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3,900,000,000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4,653,000,000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4,900,000,000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4,650,000,000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6,441,000,000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6,860,120,314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76</w:t>
            </w:r>
          </w:p>
        </w:tc>
      </w:tr>
      <w:tr w:rsidR="005F47CE" w:rsidRPr="005F47CE" w:rsidTr="005F47CE">
        <w:trPr>
          <w:trHeight w:val="25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Total government budget excluding debts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6,100,000,000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6,542,000,000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6,940,000,000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6,825,000,000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9,863,000,000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12,677,479,686 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sz w:val="16"/>
                <w:szCs w:val="16"/>
              </w:rPr>
            </w:pPr>
            <w:r w:rsidRPr="005F47CE">
              <w:rPr>
                <w:sz w:val="16"/>
                <w:szCs w:val="16"/>
              </w:rPr>
              <w:t>108</w:t>
            </w:r>
          </w:p>
        </w:tc>
      </w:tr>
      <w:tr w:rsidR="005F47CE" w:rsidRPr="005F47CE" w:rsidTr="005F47CE">
        <w:trPr>
          <w:trHeight w:val="510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Ministry of Public Health Budget out of total government budget (with debt). 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3.60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3.12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3.05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3.26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2.70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2.49 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</w:tr>
      <w:tr w:rsidR="005F47CE" w:rsidRPr="005F47CE" w:rsidTr="005F47CE">
        <w:trPr>
          <w:trHeight w:val="525"/>
          <w:jc w:val="center"/>
        </w:trPr>
        <w:tc>
          <w:tcPr>
            <w:tcW w:w="2067" w:type="dxa"/>
            <w:shd w:val="clear" w:color="auto" w:fill="auto"/>
            <w:vAlign w:val="center"/>
            <w:hideMark/>
          </w:tcPr>
          <w:p w:rsidR="005F47CE" w:rsidRPr="005F47CE" w:rsidRDefault="005F47CE" w:rsidP="00870C23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Ministry of Public Health Budget out of total government budget (without debt). %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5.91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5.33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5.21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5.48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5F47CE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4.46</w:t>
            </w:r>
          </w:p>
        </w:tc>
        <w:tc>
          <w:tcPr>
            <w:tcW w:w="1091" w:type="dxa"/>
            <w:vAlign w:val="center"/>
          </w:tcPr>
          <w:p w:rsidR="005F47CE" w:rsidRDefault="005F47CE" w:rsidP="005F47CE">
            <w:pPr>
              <w:bidi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3.84 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  <w:hideMark/>
          </w:tcPr>
          <w:p w:rsidR="005F47CE" w:rsidRPr="005F47CE" w:rsidRDefault="005F47CE" w:rsidP="005F47CE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</w:tr>
    </w:tbl>
    <w:p w:rsidR="00870C23" w:rsidRPr="00FE515B" w:rsidRDefault="00870C23" w:rsidP="005F47CE">
      <w:pPr>
        <w:bidi w:val="0"/>
        <w:jc w:val="center"/>
        <w:rPr>
          <w:i/>
          <w:iCs/>
          <w:sz w:val="20"/>
          <w:szCs w:val="20"/>
        </w:rPr>
      </w:pPr>
      <w:r w:rsidRPr="00FE515B">
        <w:rPr>
          <w:i/>
          <w:iCs/>
          <w:sz w:val="20"/>
          <w:szCs w:val="20"/>
        </w:rPr>
        <w:t xml:space="preserve">Table made by CAS based on </w:t>
      </w:r>
      <w:r w:rsidRPr="0052155A">
        <w:rPr>
          <w:i/>
          <w:iCs/>
          <w:sz w:val="18"/>
          <w:szCs w:val="18"/>
        </w:rPr>
        <w:t>Ministry of Public Health</w:t>
      </w:r>
      <w:r>
        <w:rPr>
          <w:i/>
          <w:iCs/>
          <w:sz w:val="18"/>
          <w:szCs w:val="18"/>
        </w:rPr>
        <w:t xml:space="preserve"> </w:t>
      </w:r>
      <w:r w:rsidRPr="00FE515B">
        <w:rPr>
          <w:i/>
          <w:iCs/>
          <w:sz w:val="18"/>
          <w:szCs w:val="18"/>
        </w:rPr>
        <w:t>data (</w:t>
      </w:r>
      <w:r w:rsidR="005F47CE">
        <w:rPr>
          <w:i/>
          <w:iCs/>
          <w:sz w:val="18"/>
          <w:szCs w:val="18"/>
        </w:rPr>
        <w:t>2010</w:t>
      </w:r>
      <w:r w:rsidRPr="00FE515B">
        <w:rPr>
          <w:i/>
          <w:iCs/>
          <w:sz w:val="18"/>
          <w:szCs w:val="18"/>
        </w:rPr>
        <w:t>)</w:t>
      </w:r>
    </w:p>
    <w:p w:rsidR="00667CFC" w:rsidRPr="00FF61F1" w:rsidRDefault="00667CFC" w:rsidP="00667CFC">
      <w:pPr>
        <w:bidi w:val="0"/>
        <w:rPr>
          <w:noProof/>
          <w:sz w:val="22"/>
          <w:szCs w:val="22"/>
        </w:rPr>
      </w:pPr>
    </w:p>
    <w:p w:rsidR="00667CFC" w:rsidRDefault="00870C23" w:rsidP="00870C23">
      <w:pPr>
        <w:bidi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The most obvious characteristics of this table are the following:</w:t>
      </w:r>
    </w:p>
    <w:p w:rsidR="00870C23" w:rsidRPr="00870C23" w:rsidRDefault="00870C23" w:rsidP="005F47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noProof/>
        </w:rPr>
      </w:pPr>
      <w:r w:rsidRPr="00870C23">
        <w:rPr>
          <w:rFonts w:asciiTheme="majorBidi" w:eastAsia="Times New Roman" w:hAnsiTheme="majorBidi" w:cstheme="majorBidi"/>
        </w:rPr>
        <w:t>Hospitalization in private sector</w:t>
      </w:r>
      <w:r>
        <w:rPr>
          <w:rFonts w:asciiTheme="majorBidi" w:eastAsia="Times New Roman" w:hAnsiTheme="majorBidi" w:cstheme="majorBidi"/>
        </w:rPr>
        <w:t xml:space="preserve"> increased </w:t>
      </w:r>
      <w:r w:rsidR="005F47CE">
        <w:rPr>
          <w:rFonts w:asciiTheme="majorBidi" w:eastAsia="Times New Roman" w:hAnsiTheme="majorBidi" w:cstheme="majorBidi"/>
        </w:rPr>
        <w:t>132</w:t>
      </w:r>
      <w:r>
        <w:rPr>
          <w:rFonts w:asciiTheme="majorBidi" w:eastAsia="Times New Roman" w:hAnsiTheme="majorBidi" w:cstheme="majorBidi"/>
        </w:rPr>
        <w:t>,</w:t>
      </w:r>
      <w:r w:rsidR="005F47CE">
        <w:rPr>
          <w:rFonts w:asciiTheme="majorBidi" w:eastAsia="Times New Roman" w:hAnsiTheme="majorBidi" w:cstheme="majorBidi"/>
        </w:rPr>
        <w:t>484</w:t>
      </w:r>
      <w:r>
        <w:rPr>
          <w:rFonts w:asciiTheme="majorBidi" w:eastAsia="Times New Roman" w:hAnsiTheme="majorBidi" w:cstheme="majorBidi"/>
        </w:rPr>
        <w:t xml:space="preserve"> % between 2005 and </w:t>
      </w:r>
      <w:r w:rsidR="005F47CE">
        <w:rPr>
          <w:rFonts w:asciiTheme="majorBidi" w:eastAsia="Times New Roman" w:hAnsiTheme="majorBidi" w:cstheme="majorBidi"/>
        </w:rPr>
        <w:t>2010</w:t>
      </w:r>
      <w:r>
        <w:rPr>
          <w:rFonts w:asciiTheme="majorBidi" w:eastAsia="Times New Roman" w:hAnsiTheme="majorBidi" w:cstheme="majorBidi"/>
        </w:rPr>
        <w:t>.</w:t>
      </w:r>
    </w:p>
    <w:p w:rsidR="00870C23" w:rsidRPr="00870C23" w:rsidRDefault="00870C23" w:rsidP="005F47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noProof/>
        </w:rPr>
      </w:pPr>
      <w:r>
        <w:rPr>
          <w:rFonts w:asciiTheme="majorBidi" w:eastAsia="Times New Roman" w:hAnsiTheme="majorBidi" w:cstheme="majorBidi"/>
        </w:rPr>
        <w:t xml:space="preserve">Public hospitals budget decreased 40% between 2005 and </w:t>
      </w:r>
      <w:r w:rsidR="005F47CE">
        <w:rPr>
          <w:rFonts w:asciiTheme="majorBidi" w:eastAsia="Times New Roman" w:hAnsiTheme="majorBidi" w:cstheme="majorBidi"/>
        </w:rPr>
        <w:t>2010</w:t>
      </w:r>
      <w:r>
        <w:rPr>
          <w:rFonts w:asciiTheme="majorBidi" w:eastAsia="Times New Roman" w:hAnsiTheme="majorBidi" w:cstheme="majorBidi"/>
        </w:rPr>
        <w:t>.</w:t>
      </w:r>
    </w:p>
    <w:p w:rsidR="00870C23" w:rsidRPr="00870C23" w:rsidRDefault="00870C23" w:rsidP="005F47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Drugs increased </w:t>
      </w:r>
      <w:r w:rsidR="005F47CE">
        <w:rPr>
          <w:rFonts w:asciiTheme="majorBidi" w:hAnsiTheme="majorBidi" w:cstheme="majorBidi"/>
          <w:noProof/>
        </w:rPr>
        <w:t>103</w:t>
      </w:r>
      <w:r>
        <w:rPr>
          <w:rFonts w:asciiTheme="majorBidi" w:hAnsiTheme="majorBidi" w:cstheme="majorBidi"/>
          <w:noProof/>
        </w:rPr>
        <w:t xml:space="preserve">% </w:t>
      </w:r>
      <w:r>
        <w:rPr>
          <w:rFonts w:asciiTheme="majorBidi" w:eastAsia="Times New Roman" w:hAnsiTheme="majorBidi" w:cstheme="majorBidi"/>
        </w:rPr>
        <w:t xml:space="preserve">between 2005 and </w:t>
      </w:r>
      <w:r w:rsidR="005F47CE">
        <w:rPr>
          <w:rFonts w:asciiTheme="majorBidi" w:eastAsia="Times New Roman" w:hAnsiTheme="majorBidi" w:cstheme="majorBidi"/>
        </w:rPr>
        <w:t>2010</w:t>
      </w:r>
      <w:r>
        <w:rPr>
          <w:rFonts w:asciiTheme="majorBidi" w:eastAsia="Times New Roman" w:hAnsiTheme="majorBidi" w:cstheme="majorBidi"/>
        </w:rPr>
        <w:t>.</w:t>
      </w:r>
    </w:p>
    <w:p w:rsidR="00870C23" w:rsidRPr="00870C23" w:rsidRDefault="00870C23" w:rsidP="005F47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noProof/>
        </w:rPr>
      </w:pPr>
      <w:r>
        <w:rPr>
          <w:rFonts w:asciiTheme="majorBidi" w:eastAsia="Times New Roman" w:hAnsiTheme="majorBidi" w:cstheme="majorBidi"/>
        </w:rPr>
        <w:t xml:space="preserve">Other expenses increased </w:t>
      </w:r>
      <w:r w:rsidR="005F47CE">
        <w:rPr>
          <w:rFonts w:asciiTheme="majorBidi" w:eastAsia="Times New Roman" w:hAnsiTheme="majorBidi" w:cstheme="majorBidi"/>
        </w:rPr>
        <w:t>115</w:t>
      </w:r>
      <w:r>
        <w:rPr>
          <w:rFonts w:asciiTheme="majorBidi" w:eastAsia="Times New Roman" w:hAnsiTheme="majorBidi" w:cstheme="majorBidi"/>
        </w:rPr>
        <w:t xml:space="preserve">% between 2005 and </w:t>
      </w:r>
      <w:r w:rsidR="005F47CE">
        <w:rPr>
          <w:rFonts w:asciiTheme="majorBidi" w:eastAsia="Times New Roman" w:hAnsiTheme="majorBidi" w:cstheme="majorBidi"/>
        </w:rPr>
        <w:t>2010</w:t>
      </w:r>
      <w:r>
        <w:rPr>
          <w:rFonts w:asciiTheme="majorBidi" w:eastAsia="Times New Roman" w:hAnsiTheme="majorBidi" w:cstheme="majorBidi"/>
        </w:rPr>
        <w:t>.</w:t>
      </w:r>
    </w:p>
    <w:p w:rsidR="00870C23" w:rsidRPr="00870C23" w:rsidRDefault="00870C23" w:rsidP="005F47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Part Two (Central Laboratory and MOPH) decreased </w:t>
      </w:r>
      <w:r w:rsidR="005F47CE">
        <w:rPr>
          <w:rFonts w:asciiTheme="majorBidi" w:hAnsiTheme="majorBidi" w:cstheme="majorBidi"/>
          <w:noProof/>
        </w:rPr>
        <w:t>56</w:t>
      </w:r>
      <w:r>
        <w:rPr>
          <w:rFonts w:asciiTheme="majorBidi" w:hAnsiTheme="majorBidi" w:cstheme="majorBidi"/>
          <w:noProof/>
        </w:rPr>
        <w:t xml:space="preserve">% </w:t>
      </w:r>
      <w:r>
        <w:rPr>
          <w:rFonts w:asciiTheme="majorBidi" w:eastAsia="Times New Roman" w:hAnsiTheme="majorBidi" w:cstheme="majorBidi"/>
        </w:rPr>
        <w:t xml:space="preserve">between 2005 and </w:t>
      </w:r>
      <w:r w:rsidR="005F47CE">
        <w:rPr>
          <w:rFonts w:asciiTheme="majorBidi" w:eastAsia="Times New Roman" w:hAnsiTheme="majorBidi" w:cstheme="majorBidi"/>
        </w:rPr>
        <w:t>2010</w:t>
      </w:r>
      <w:r>
        <w:rPr>
          <w:rFonts w:asciiTheme="majorBidi" w:eastAsia="Times New Roman" w:hAnsiTheme="majorBidi" w:cstheme="majorBidi"/>
        </w:rPr>
        <w:t>.</w:t>
      </w:r>
    </w:p>
    <w:p w:rsidR="00870C23" w:rsidRPr="00870C23" w:rsidRDefault="00870C23" w:rsidP="005F47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noProof/>
        </w:rPr>
      </w:pPr>
      <w:r>
        <w:rPr>
          <w:rFonts w:asciiTheme="majorBidi" w:eastAsia="Times New Roman" w:hAnsiTheme="majorBidi" w:cstheme="majorBidi"/>
        </w:rPr>
        <w:t xml:space="preserve">MOPH total budget increased </w:t>
      </w:r>
      <w:r w:rsidR="005F47CE">
        <w:rPr>
          <w:rFonts w:asciiTheme="majorBidi" w:eastAsia="Times New Roman" w:hAnsiTheme="majorBidi" w:cstheme="majorBidi"/>
        </w:rPr>
        <w:t>35</w:t>
      </w:r>
      <w:r>
        <w:rPr>
          <w:rFonts w:asciiTheme="majorBidi" w:eastAsia="Times New Roman" w:hAnsiTheme="majorBidi" w:cstheme="majorBidi"/>
        </w:rPr>
        <w:t xml:space="preserve">% between 2005 and </w:t>
      </w:r>
      <w:r w:rsidR="005F47CE">
        <w:rPr>
          <w:rFonts w:asciiTheme="majorBidi" w:eastAsia="Times New Roman" w:hAnsiTheme="majorBidi" w:cstheme="majorBidi"/>
        </w:rPr>
        <w:t>2010</w:t>
      </w:r>
      <w:r>
        <w:rPr>
          <w:rFonts w:asciiTheme="majorBidi" w:eastAsia="Times New Roman" w:hAnsiTheme="majorBidi" w:cstheme="majorBidi"/>
        </w:rPr>
        <w:t>.</w:t>
      </w:r>
    </w:p>
    <w:p w:rsidR="00667CFC" w:rsidRPr="00FF61F1" w:rsidRDefault="00667CFC" w:rsidP="00667CFC">
      <w:pPr>
        <w:bidi w:val="0"/>
        <w:rPr>
          <w:noProof/>
        </w:rPr>
      </w:pPr>
    </w:p>
    <w:p w:rsidR="00667CFC" w:rsidRPr="00FF61F1" w:rsidRDefault="00667CFC" w:rsidP="00667CFC">
      <w:pPr>
        <w:bidi w:val="0"/>
        <w:rPr>
          <w:noProof/>
        </w:rPr>
      </w:pPr>
    </w:p>
    <w:p w:rsidR="00667CFC" w:rsidRPr="00FF61F1" w:rsidRDefault="00667CFC" w:rsidP="00667CFC">
      <w:pPr>
        <w:bidi w:val="0"/>
        <w:rPr>
          <w:noProof/>
        </w:rPr>
      </w:pPr>
    </w:p>
    <w:p w:rsidR="00667CFC" w:rsidRPr="00FF61F1" w:rsidRDefault="00667CFC" w:rsidP="00667CFC">
      <w:pPr>
        <w:bidi w:val="0"/>
        <w:rPr>
          <w:noProof/>
        </w:rPr>
      </w:pPr>
    </w:p>
    <w:sectPr w:rsidR="00667CFC" w:rsidRPr="00FF61F1" w:rsidSect="006055B4">
      <w:footerReference w:type="even" r:id="rId10"/>
      <w:footerReference w:type="default" r:id="rId11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B2" w:rsidRDefault="004C32B2">
      <w:r>
        <w:separator/>
      </w:r>
    </w:p>
  </w:endnote>
  <w:endnote w:type="continuationSeparator" w:id="1">
    <w:p w:rsidR="004C32B2" w:rsidRDefault="004C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935" w:rsidRDefault="00105935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05935" w:rsidRDefault="001059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105935" w:rsidRDefault="00105935">
        <w:pPr>
          <w:pStyle w:val="Footer"/>
          <w:jc w:val="center"/>
        </w:pPr>
        <w:fldSimple w:instr=" PAGE   \* MERGEFORMAT ">
          <w:r w:rsidR="008E0707">
            <w:rPr>
              <w:noProof/>
              <w:rtl/>
            </w:rPr>
            <w:t>7</w:t>
          </w:r>
        </w:fldSimple>
      </w:p>
    </w:sdtContent>
  </w:sdt>
  <w:p w:rsidR="00105935" w:rsidRDefault="00105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B2" w:rsidRDefault="004C32B2">
      <w:r>
        <w:separator/>
      </w:r>
    </w:p>
  </w:footnote>
  <w:footnote w:type="continuationSeparator" w:id="1">
    <w:p w:rsidR="004C32B2" w:rsidRDefault="004C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601B"/>
    <w:multiLevelType w:val="hybridMultilevel"/>
    <w:tmpl w:val="47A4B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78117B"/>
    <w:multiLevelType w:val="hybridMultilevel"/>
    <w:tmpl w:val="7CD20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3F6913"/>
    <w:multiLevelType w:val="hybridMultilevel"/>
    <w:tmpl w:val="F080E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3914D2"/>
    <w:multiLevelType w:val="hybridMultilevel"/>
    <w:tmpl w:val="EFA8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61C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17FBA"/>
    <w:rsid w:val="00022064"/>
    <w:rsid w:val="000226B3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51C3"/>
    <w:rsid w:val="00037907"/>
    <w:rsid w:val="00040416"/>
    <w:rsid w:val="0004133C"/>
    <w:rsid w:val="00042225"/>
    <w:rsid w:val="000428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6663F"/>
    <w:rsid w:val="00070FE0"/>
    <w:rsid w:val="000734B1"/>
    <w:rsid w:val="00074983"/>
    <w:rsid w:val="000750D2"/>
    <w:rsid w:val="00077406"/>
    <w:rsid w:val="00080B4A"/>
    <w:rsid w:val="00081A8B"/>
    <w:rsid w:val="00082380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05A5"/>
    <w:rsid w:val="000B5260"/>
    <w:rsid w:val="000B58A2"/>
    <w:rsid w:val="000B7CEF"/>
    <w:rsid w:val="000B7EFF"/>
    <w:rsid w:val="000C287C"/>
    <w:rsid w:val="000C2E53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08B9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45A0"/>
    <w:rsid w:val="00105935"/>
    <w:rsid w:val="00110CB5"/>
    <w:rsid w:val="0011401B"/>
    <w:rsid w:val="001164A8"/>
    <w:rsid w:val="00116CFD"/>
    <w:rsid w:val="00117CED"/>
    <w:rsid w:val="00117FA4"/>
    <w:rsid w:val="001208F8"/>
    <w:rsid w:val="0012136F"/>
    <w:rsid w:val="00122204"/>
    <w:rsid w:val="0012249D"/>
    <w:rsid w:val="00123993"/>
    <w:rsid w:val="00123AE6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15"/>
    <w:rsid w:val="00145904"/>
    <w:rsid w:val="00145F62"/>
    <w:rsid w:val="00146299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013A"/>
    <w:rsid w:val="00171816"/>
    <w:rsid w:val="00172D58"/>
    <w:rsid w:val="00175BDA"/>
    <w:rsid w:val="00177D6A"/>
    <w:rsid w:val="00180EBC"/>
    <w:rsid w:val="00184033"/>
    <w:rsid w:val="0018558F"/>
    <w:rsid w:val="00186CBD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4BE3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17556"/>
    <w:rsid w:val="00222C18"/>
    <w:rsid w:val="00227A74"/>
    <w:rsid w:val="00227CF0"/>
    <w:rsid w:val="00232403"/>
    <w:rsid w:val="0023287E"/>
    <w:rsid w:val="00233970"/>
    <w:rsid w:val="002343FB"/>
    <w:rsid w:val="0024058A"/>
    <w:rsid w:val="00242B20"/>
    <w:rsid w:val="002439BF"/>
    <w:rsid w:val="00244669"/>
    <w:rsid w:val="00244D8C"/>
    <w:rsid w:val="0024782F"/>
    <w:rsid w:val="00247F5C"/>
    <w:rsid w:val="0025129A"/>
    <w:rsid w:val="00251AAD"/>
    <w:rsid w:val="00252418"/>
    <w:rsid w:val="00253550"/>
    <w:rsid w:val="00260A7B"/>
    <w:rsid w:val="00260CC1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23A"/>
    <w:rsid w:val="00287A2D"/>
    <w:rsid w:val="00291808"/>
    <w:rsid w:val="0029266E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5F5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3DB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580D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48D"/>
    <w:rsid w:val="003A5586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F07"/>
    <w:rsid w:val="003C016E"/>
    <w:rsid w:val="003C10EF"/>
    <w:rsid w:val="003C663C"/>
    <w:rsid w:val="003C6857"/>
    <w:rsid w:val="003C7EB2"/>
    <w:rsid w:val="003D1A8D"/>
    <w:rsid w:val="003D20D6"/>
    <w:rsid w:val="003D241C"/>
    <w:rsid w:val="003D4924"/>
    <w:rsid w:val="003D4EC8"/>
    <w:rsid w:val="003D54E6"/>
    <w:rsid w:val="003D65AF"/>
    <w:rsid w:val="003D751D"/>
    <w:rsid w:val="003D7719"/>
    <w:rsid w:val="003E0DA2"/>
    <w:rsid w:val="003E1C98"/>
    <w:rsid w:val="003E29C6"/>
    <w:rsid w:val="003E359D"/>
    <w:rsid w:val="003E4905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768F"/>
    <w:rsid w:val="00440CF2"/>
    <w:rsid w:val="00441890"/>
    <w:rsid w:val="00441A72"/>
    <w:rsid w:val="0044284B"/>
    <w:rsid w:val="00442B8E"/>
    <w:rsid w:val="00442C38"/>
    <w:rsid w:val="004433D7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533D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20ED"/>
    <w:rsid w:val="004B4B24"/>
    <w:rsid w:val="004B4D95"/>
    <w:rsid w:val="004B616B"/>
    <w:rsid w:val="004B659C"/>
    <w:rsid w:val="004B69E8"/>
    <w:rsid w:val="004C04A7"/>
    <w:rsid w:val="004C070B"/>
    <w:rsid w:val="004C32B2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4B9"/>
    <w:rsid w:val="00515F2B"/>
    <w:rsid w:val="0051679E"/>
    <w:rsid w:val="005170DF"/>
    <w:rsid w:val="00517763"/>
    <w:rsid w:val="00517FF0"/>
    <w:rsid w:val="005208A9"/>
    <w:rsid w:val="0052155A"/>
    <w:rsid w:val="00522196"/>
    <w:rsid w:val="00523EB0"/>
    <w:rsid w:val="0052551D"/>
    <w:rsid w:val="005256C2"/>
    <w:rsid w:val="005327EC"/>
    <w:rsid w:val="0053329B"/>
    <w:rsid w:val="00533B2F"/>
    <w:rsid w:val="00534624"/>
    <w:rsid w:val="0053600E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5DF9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7C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097A"/>
    <w:rsid w:val="00611410"/>
    <w:rsid w:val="00612829"/>
    <w:rsid w:val="00612CB4"/>
    <w:rsid w:val="00621282"/>
    <w:rsid w:val="006214A6"/>
    <w:rsid w:val="006225D9"/>
    <w:rsid w:val="006247EF"/>
    <w:rsid w:val="00627860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05B"/>
    <w:rsid w:val="00645A77"/>
    <w:rsid w:val="00645F40"/>
    <w:rsid w:val="006469CA"/>
    <w:rsid w:val="00646E14"/>
    <w:rsid w:val="006505E8"/>
    <w:rsid w:val="00651841"/>
    <w:rsid w:val="0065376B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7000CC"/>
    <w:rsid w:val="007027CA"/>
    <w:rsid w:val="00702E63"/>
    <w:rsid w:val="007053D3"/>
    <w:rsid w:val="00705E14"/>
    <w:rsid w:val="00705F45"/>
    <w:rsid w:val="007101D1"/>
    <w:rsid w:val="00712BCA"/>
    <w:rsid w:val="00713A20"/>
    <w:rsid w:val="00714AD0"/>
    <w:rsid w:val="00714D84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0F27"/>
    <w:rsid w:val="00731148"/>
    <w:rsid w:val="0073194C"/>
    <w:rsid w:val="00731C18"/>
    <w:rsid w:val="00731DA2"/>
    <w:rsid w:val="0073235D"/>
    <w:rsid w:val="00732868"/>
    <w:rsid w:val="00733393"/>
    <w:rsid w:val="00734590"/>
    <w:rsid w:val="007345BD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3453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5C9B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4141"/>
    <w:rsid w:val="007F44D8"/>
    <w:rsid w:val="007F4572"/>
    <w:rsid w:val="007F5AF3"/>
    <w:rsid w:val="007F5CB6"/>
    <w:rsid w:val="007F5E9A"/>
    <w:rsid w:val="007F75A9"/>
    <w:rsid w:val="008007F9"/>
    <w:rsid w:val="00802F3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275E0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0C23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CD4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2"/>
    <w:rsid w:val="008A3484"/>
    <w:rsid w:val="008A36F5"/>
    <w:rsid w:val="008A443F"/>
    <w:rsid w:val="008A4F6B"/>
    <w:rsid w:val="008A5A7A"/>
    <w:rsid w:val="008A72FA"/>
    <w:rsid w:val="008B0946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493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052F"/>
    <w:rsid w:val="008E0707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658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C4D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6C7B"/>
    <w:rsid w:val="009B78A0"/>
    <w:rsid w:val="009C0CD7"/>
    <w:rsid w:val="009C191C"/>
    <w:rsid w:val="009C22DA"/>
    <w:rsid w:val="009C3F7B"/>
    <w:rsid w:val="009C4FA5"/>
    <w:rsid w:val="009C5EA7"/>
    <w:rsid w:val="009C60A0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1026"/>
    <w:rsid w:val="009E2413"/>
    <w:rsid w:val="009E4A37"/>
    <w:rsid w:val="009E5866"/>
    <w:rsid w:val="009E7A04"/>
    <w:rsid w:val="009F03EE"/>
    <w:rsid w:val="009F3242"/>
    <w:rsid w:val="009F398D"/>
    <w:rsid w:val="009F42FA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A00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8A8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07A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1E61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4CD4"/>
    <w:rsid w:val="00B4543E"/>
    <w:rsid w:val="00B45FCA"/>
    <w:rsid w:val="00B47E68"/>
    <w:rsid w:val="00B50DA2"/>
    <w:rsid w:val="00B50F75"/>
    <w:rsid w:val="00B51C53"/>
    <w:rsid w:val="00B5267B"/>
    <w:rsid w:val="00B5441D"/>
    <w:rsid w:val="00B5520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86D04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AAC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276E"/>
    <w:rsid w:val="00C62BEF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978C4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DB0"/>
    <w:rsid w:val="00CD4FBE"/>
    <w:rsid w:val="00CD5E1C"/>
    <w:rsid w:val="00CE0612"/>
    <w:rsid w:val="00CE11A0"/>
    <w:rsid w:val="00CE2751"/>
    <w:rsid w:val="00CE4EFB"/>
    <w:rsid w:val="00CE50CC"/>
    <w:rsid w:val="00CE5313"/>
    <w:rsid w:val="00CE7FE5"/>
    <w:rsid w:val="00CF0882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07015"/>
    <w:rsid w:val="00D10333"/>
    <w:rsid w:val="00D1065D"/>
    <w:rsid w:val="00D11143"/>
    <w:rsid w:val="00D11D03"/>
    <w:rsid w:val="00D1441B"/>
    <w:rsid w:val="00D147E3"/>
    <w:rsid w:val="00D1576B"/>
    <w:rsid w:val="00D15F99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2E8D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86F7B"/>
    <w:rsid w:val="00D93B12"/>
    <w:rsid w:val="00D945B0"/>
    <w:rsid w:val="00D960A4"/>
    <w:rsid w:val="00D97A6F"/>
    <w:rsid w:val="00DA0F2A"/>
    <w:rsid w:val="00DA264D"/>
    <w:rsid w:val="00DA6B2A"/>
    <w:rsid w:val="00DA6DFC"/>
    <w:rsid w:val="00DA70C8"/>
    <w:rsid w:val="00DA7745"/>
    <w:rsid w:val="00DB19D8"/>
    <w:rsid w:val="00DB1E5A"/>
    <w:rsid w:val="00DB427D"/>
    <w:rsid w:val="00DB6839"/>
    <w:rsid w:val="00DB6DAF"/>
    <w:rsid w:val="00DC25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7F9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2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76C2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5395"/>
    <w:rsid w:val="00EE718C"/>
    <w:rsid w:val="00EF04A2"/>
    <w:rsid w:val="00EF0526"/>
    <w:rsid w:val="00EF12EF"/>
    <w:rsid w:val="00EF28F9"/>
    <w:rsid w:val="00EF5010"/>
    <w:rsid w:val="00EF54F6"/>
    <w:rsid w:val="00EF5D9F"/>
    <w:rsid w:val="00EF6E64"/>
    <w:rsid w:val="00EF78C2"/>
    <w:rsid w:val="00F00AAB"/>
    <w:rsid w:val="00F011FE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07D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6C1"/>
    <w:rsid w:val="00F61A20"/>
    <w:rsid w:val="00F61DF7"/>
    <w:rsid w:val="00F623A8"/>
    <w:rsid w:val="00F631B7"/>
    <w:rsid w:val="00F64D91"/>
    <w:rsid w:val="00F660D8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E3ACB"/>
    <w:rsid w:val="00FE515B"/>
    <w:rsid w:val="00FF0D70"/>
    <w:rsid w:val="00FF3BE8"/>
    <w:rsid w:val="00FF4B45"/>
    <w:rsid w:val="00FF61F1"/>
    <w:rsid w:val="00FF6285"/>
    <w:rsid w:val="00FF6DAF"/>
    <w:rsid w:val="00FF7096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62</cp:revision>
  <cp:lastPrinted>2010-06-01T06:06:00Z</cp:lastPrinted>
  <dcterms:created xsi:type="dcterms:W3CDTF">2010-07-02T09:44:00Z</dcterms:created>
  <dcterms:modified xsi:type="dcterms:W3CDTF">2013-10-17T12:34:00Z</dcterms:modified>
</cp:coreProperties>
</file>