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E6" w:rsidRPr="005E209B" w:rsidRDefault="00BE77E6" w:rsidP="005A7C25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</w:rPr>
      </w:pPr>
      <w:bookmarkStart w:id="0" w:name="_Toc263093776"/>
      <w:r w:rsidRPr="005E209B">
        <w:rPr>
          <w:rFonts w:asciiTheme="majorBidi" w:hAnsiTheme="majorBidi"/>
          <w:color w:val="auto"/>
          <w:sz w:val="36"/>
          <w:szCs w:val="36"/>
        </w:rPr>
        <w:t>1</w:t>
      </w:r>
      <w:r w:rsidR="00183EE0">
        <w:rPr>
          <w:rFonts w:asciiTheme="majorBidi" w:hAnsiTheme="majorBidi"/>
          <w:color w:val="auto"/>
          <w:sz w:val="36"/>
          <w:szCs w:val="36"/>
        </w:rPr>
        <w:t>7</w:t>
      </w:r>
      <w:r w:rsidRPr="005E209B">
        <w:rPr>
          <w:rFonts w:asciiTheme="majorBidi" w:hAnsiTheme="majorBidi"/>
          <w:color w:val="auto"/>
          <w:sz w:val="36"/>
          <w:szCs w:val="36"/>
        </w:rPr>
        <w:t xml:space="preserve">. </w:t>
      </w:r>
      <w:bookmarkEnd w:id="0"/>
      <w:r w:rsidR="005A7C25">
        <w:rPr>
          <w:rFonts w:asciiTheme="majorBidi" w:hAnsiTheme="majorBidi"/>
          <w:color w:val="auto"/>
          <w:sz w:val="36"/>
          <w:szCs w:val="36"/>
        </w:rPr>
        <w:t>MIDCLEAR AND MONEY EXCHANGE</w:t>
      </w:r>
    </w:p>
    <w:p w:rsidR="00BE77E6" w:rsidRPr="00FF61F1" w:rsidRDefault="00BE77E6" w:rsidP="00BE77E6">
      <w:pPr>
        <w:bidi w:val="0"/>
        <w:jc w:val="both"/>
      </w:pPr>
    </w:p>
    <w:p w:rsidR="00BE77E6" w:rsidRPr="00FF61F1" w:rsidRDefault="00AD1514" w:rsidP="00BE77E6">
      <w:pPr>
        <w:bidi w:val="0"/>
      </w:pPr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60" type="#_x0000_t202" style="position:absolute;margin-left:-3.55pt;margin-top:-1.15pt;width:480.55pt;height:30.9pt;z-index:2519500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860">
              <w:txbxContent>
                <w:p w:rsidR="001050C0" w:rsidRPr="00A548FE" w:rsidRDefault="001050C0" w:rsidP="00183EE0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MIDCLEAR and money exchange in Lebanon deals with bonds and with money exchangers in Lebanon by category. </w:t>
                  </w:r>
                </w:p>
              </w:txbxContent>
            </v:textbox>
            <w10:wrap anchorx="page"/>
          </v:shape>
        </w:pict>
      </w: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  <w:jc w:val="center"/>
        <w:rPr>
          <w:b/>
          <w:bCs/>
          <w:noProof/>
          <w:sz w:val="16"/>
          <w:szCs w:val="16"/>
        </w:rPr>
      </w:pPr>
    </w:p>
    <w:p w:rsidR="00BE77E6" w:rsidRPr="00FF61F1" w:rsidRDefault="00183EE0" w:rsidP="00BE77E6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MIDCLEAR</w:t>
      </w:r>
    </w:p>
    <w:p w:rsidR="00BE77E6" w:rsidRPr="00FF61F1" w:rsidRDefault="008C32AD" w:rsidP="008C32AD">
      <w:pPr>
        <w:tabs>
          <w:tab w:val="center" w:pos="4819"/>
          <w:tab w:val="left" w:pos="5253"/>
        </w:tabs>
        <w:bidi w:val="0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</w:p>
    <w:p w:rsidR="00BE77E6" w:rsidRDefault="00BE77E6" w:rsidP="000D1F6B">
      <w:pPr>
        <w:bidi w:val="0"/>
        <w:jc w:val="both"/>
        <w:rPr>
          <w:sz w:val="22"/>
          <w:szCs w:val="22"/>
        </w:rPr>
      </w:pPr>
      <w:r w:rsidRPr="00FF61F1">
        <w:rPr>
          <w:sz w:val="22"/>
          <w:szCs w:val="22"/>
        </w:rPr>
        <w:t xml:space="preserve">The Central Bank of Lebanon established in June 1994 in Beirut, </w:t>
      </w:r>
      <w:r w:rsidR="00CF401C">
        <w:rPr>
          <w:sz w:val="22"/>
          <w:szCs w:val="22"/>
        </w:rPr>
        <w:t xml:space="preserve">the </w:t>
      </w:r>
      <w:r w:rsidR="00CF401C" w:rsidRPr="00FF61F1">
        <w:rPr>
          <w:sz w:val="22"/>
          <w:szCs w:val="22"/>
        </w:rPr>
        <w:t>Custodian and Clearing Center of financial instruments for Lebanon and the Middle East</w:t>
      </w:r>
      <w:r w:rsidR="00CF401C">
        <w:rPr>
          <w:sz w:val="22"/>
          <w:szCs w:val="22"/>
        </w:rPr>
        <w:t xml:space="preserve"> (</w:t>
      </w:r>
      <w:r w:rsidR="000D1F6B">
        <w:rPr>
          <w:sz w:val="22"/>
          <w:szCs w:val="22"/>
        </w:rPr>
        <w:t>MIDCLEAR</w:t>
      </w:r>
      <w:r w:rsidR="000D1F6B" w:rsidRPr="00FF61F1">
        <w:rPr>
          <w:sz w:val="22"/>
          <w:szCs w:val="22"/>
        </w:rPr>
        <w:t xml:space="preserve"> </w:t>
      </w:r>
      <w:r w:rsidRPr="00FF61F1">
        <w:rPr>
          <w:sz w:val="22"/>
          <w:szCs w:val="22"/>
        </w:rPr>
        <w:t>S.A.L.</w:t>
      </w:r>
      <w:r w:rsidR="00CF401C">
        <w:rPr>
          <w:sz w:val="22"/>
          <w:szCs w:val="22"/>
        </w:rPr>
        <w:t>)</w:t>
      </w:r>
      <w:r w:rsidR="003E1219">
        <w:rPr>
          <w:sz w:val="22"/>
          <w:szCs w:val="22"/>
        </w:rPr>
        <w:t xml:space="preserve">. The aim was </w:t>
      </w:r>
      <w:r w:rsidR="00CF401C">
        <w:rPr>
          <w:sz w:val="22"/>
          <w:szCs w:val="22"/>
        </w:rPr>
        <w:t xml:space="preserve">to develop the Lebanese financial market. </w:t>
      </w:r>
      <w:r w:rsidR="000D1F6B">
        <w:rPr>
          <w:sz w:val="22"/>
          <w:szCs w:val="22"/>
        </w:rPr>
        <w:t>MIDCLEAR</w:t>
      </w:r>
      <w:r w:rsidRPr="00FF61F1">
        <w:rPr>
          <w:sz w:val="22"/>
          <w:szCs w:val="22"/>
        </w:rPr>
        <w:t xml:space="preserve"> provides investors with a variety of depository and clearing services which confirm to international standards recommended by the Group of Thirty (</w:t>
      </w:r>
      <w:hyperlink r:id="rId8" w:history="1">
        <w:r w:rsidRPr="00FF61F1">
          <w:rPr>
            <w:rStyle w:val="Hyperlink"/>
            <w:sz w:val="22"/>
            <w:szCs w:val="22"/>
          </w:rPr>
          <w:t>www.midclear.com.lb</w:t>
        </w:r>
      </w:hyperlink>
      <w:r w:rsidRPr="00FF61F1">
        <w:rPr>
          <w:sz w:val="22"/>
          <w:szCs w:val="22"/>
        </w:rPr>
        <w:t>).</w:t>
      </w:r>
    </w:p>
    <w:p w:rsidR="000F5E54" w:rsidRDefault="000F5E54" w:rsidP="000F5E54">
      <w:pPr>
        <w:bidi w:val="0"/>
        <w:jc w:val="both"/>
        <w:rPr>
          <w:sz w:val="22"/>
          <w:szCs w:val="22"/>
        </w:rPr>
      </w:pPr>
    </w:p>
    <w:p w:rsidR="000F5E54" w:rsidRPr="00FF61F1" w:rsidRDefault="000F5E54" w:rsidP="00CA2FD4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MIDCLEAR activity in </w:t>
      </w:r>
      <w:r w:rsidR="00CA2FD4">
        <w:rPr>
          <w:sz w:val="22"/>
          <w:szCs w:val="22"/>
        </w:rPr>
        <w:t>2010</w:t>
      </w:r>
      <w:r>
        <w:rPr>
          <w:sz w:val="22"/>
          <w:szCs w:val="22"/>
        </w:rPr>
        <w:t>:</w:t>
      </w:r>
    </w:p>
    <w:p w:rsidR="00CF401C" w:rsidRDefault="000E56B4" w:rsidP="00CA2FD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3E1219">
        <w:rPr>
          <w:rFonts w:asciiTheme="majorBidi" w:hAnsiTheme="majorBidi" w:cstheme="majorBidi"/>
        </w:rPr>
        <w:t>Members</w:t>
      </w:r>
      <w:r w:rsidR="00CF401C" w:rsidRPr="003E1219">
        <w:rPr>
          <w:rFonts w:asciiTheme="majorBidi" w:hAnsiTheme="majorBidi" w:cstheme="majorBidi"/>
        </w:rPr>
        <w:t>:</w:t>
      </w:r>
      <w:r w:rsidRPr="003E1219">
        <w:rPr>
          <w:rFonts w:asciiTheme="majorBidi" w:hAnsiTheme="majorBidi" w:cstheme="majorBidi"/>
        </w:rPr>
        <w:t xml:space="preserve"> </w:t>
      </w:r>
      <w:r w:rsidR="003E1219" w:rsidRPr="003E1219">
        <w:rPr>
          <w:rFonts w:asciiTheme="majorBidi" w:hAnsiTheme="majorBidi" w:cstheme="majorBidi"/>
        </w:rPr>
        <w:t>10</w:t>
      </w:r>
      <w:r w:rsidR="00CA2FD4">
        <w:rPr>
          <w:rFonts w:asciiTheme="majorBidi" w:hAnsiTheme="majorBidi" w:cstheme="majorBidi"/>
        </w:rPr>
        <w:t>9</w:t>
      </w:r>
      <w:r w:rsidR="003E1219" w:rsidRPr="003E1219">
        <w:rPr>
          <w:rFonts w:asciiTheme="majorBidi" w:hAnsiTheme="majorBidi" w:cstheme="majorBidi"/>
        </w:rPr>
        <w:t xml:space="preserve"> members (increase of </w:t>
      </w:r>
      <w:r w:rsidR="00CA2FD4">
        <w:rPr>
          <w:rFonts w:asciiTheme="majorBidi" w:hAnsiTheme="majorBidi" w:cstheme="majorBidi"/>
        </w:rPr>
        <w:t>159</w:t>
      </w:r>
      <w:r w:rsidR="00907464">
        <w:rPr>
          <w:rFonts w:asciiTheme="majorBidi" w:hAnsiTheme="majorBidi" w:cstheme="majorBidi"/>
        </w:rPr>
        <w:t>.</w:t>
      </w:r>
      <w:r w:rsidR="00CA2FD4">
        <w:rPr>
          <w:rFonts w:asciiTheme="majorBidi" w:hAnsiTheme="majorBidi" w:cstheme="majorBidi"/>
        </w:rPr>
        <w:t>5</w:t>
      </w:r>
      <w:r w:rsidR="003E1219" w:rsidRPr="003E1219">
        <w:rPr>
          <w:rFonts w:asciiTheme="majorBidi" w:hAnsiTheme="majorBidi" w:cstheme="majorBidi"/>
        </w:rPr>
        <w:t>% compared to 1997).</w:t>
      </w:r>
    </w:p>
    <w:p w:rsidR="003E1219" w:rsidRDefault="003E1219" w:rsidP="00CA2FD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Companies: </w:t>
      </w:r>
      <w:r w:rsidR="00CA2FD4">
        <w:rPr>
          <w:rFonts w:asciiTheme="majorBidi" w:hAnsiTheme="majorBidi" w:cstheme="majorBidi"/>
        </w:rPr>
        <w:t>120</w:t>
      </w:r>
      <w:r>
        <w:rPr>
          <w:rFonts w:asciiTheme="majorBidi" w:hAnsiTheme="majorBidi" w:cstheme="majorBidi"/>
        </w:rPr>
        <w:t xml:space="preserve"> companies (increase of </w:t>
      </w:r>
      <w:r w:rsidR="00CA2FD4">
        <w:rPr>
          <w:rFonts w:asciiTheme="majorBidi" w:hAnsiTheme="majorBidi" w:cstheme="majorBidi"/>
        </w:rPr>
        <w:t>3,900</w:t>
      </w:r>
      <w:r>
        <w:rPr>
          <w:rFonts w:asciiTheme="majorBidi" w:hAnsiTheme="majorBidi" w:cstheme="majorBidi"/>
        </w:rPr>
        <w:t>% compared to 1997).</w:t>
      </w:r>
    </w:p>
    <w:p w:rsidR="003E1219" w:rsidRPr="003E1219" w:rsidRDefault="003E1219" w:rsidP="00CA2FD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Shareholders: </w:t>
      </w:r>
      <w:r w:rsidR="00CA2FD4" w:rsidRPr="00CA2FD4">
        <w:rPr>
          <w:rFonts w:asciiTheme="majorBidi" w:hAnsiTheme="majorBidi" w:cstheme="majorBidi"/>
        </w:rPr>
        <w:t xml:space="preserve">24,860 </w:t>
      </w:r>
      <w:r>
        <w:rPr>
          <w:rFonts w:asciiTheme="majorBidi" w:hAnsiTheme="majorBidi" w:cstheme="majorBidi"/>
        </w:rPr>
        <w:t xml:space="preserve">shareholders ( increase of </w:t>
      </w:r>
      <w:r w:rsidR="00CA2FD4">
        <w:rPr>
          <w:rFonts w:asciiTheme="majorBidi" w:hAnsiTheme="majorBidi" w:cstheme="majorBidi"/>
        </w:rPr>
        <w:t>862.4</w:t>
      </w:r>
      <w:r>
        <w:rPr>
          <w:rFonts w:asciiTheme="majorBidi" w:hAnsiTheme="majorBidi" w:cstheme="majorBidi"/>
        </w:rPr>
        <w:t>% compared to 1997).</w:t>
      </w:r>
    </w:p>
    <w:p w:rsidR="003E1219" w:rsidRDefault="00AD1514" w:rsidP="003E1219">
      <w:pPr>
        <w:bidi w:val="0"/>
        <w:jc w:val="both"/>
        <w:rPr>
          <w:sz w:val="22"/>
          <w:szCs w:val="22"/>
        </w:rPr>
      </w:pPr>
      <w:r w:rsidRPr="00AD1514">
        <w:rPr>
          <w:noProof/>
          <w:lang w:eastAsia="en-US" w:bidi="ar-SA"/>
        </w:rPr>
        <w:pict>
          <v:shape id="_x0000_s1851" type="#_x0000_t202" style="position:absolute;left:0;text-align:left;margin-left:.55pt;margin-top:6.5pt;width:482.45pt;height:238.65pt;z-index:251943936" strokecolor="#002060">
            <v:shadow on="t" opacity=".5" offset="-6pt,-6pt"/>
            <v:textbox style="mso-next-textbox:#_x0000_s1851">
              <w:txbxContent>
                <w:p w:rsidR="001050C0" w:rsidRPr="003E1219" w:rsidRDefault="001050C0" w:rsidP="00BE77E6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1050C0" w:rsidRPr="003E1219" w:rsidRDefault="001050C0" w:rsidP="00CA2FD4">
                  <w:pPr>
                    <w:bidi w:val="0"/>
                    <w:jc w:val="center"/>
                    <w:rPr>
                      <w:noProof/>
                      <w:color w:val="002060"/>
                      <w:sz w:val="12"/>
                      <w:szCs w:val="12"/>
                      <w:lang w:eastAsia="en-US" w:bidi="ar-SA"/>
                    </w:rPr>
                  </w:pPr>
                  <w:r w:rsidRPr="003E1219">
                    <w:rPr>
                      <w:b/>
                      <w:bCs/>
                      <w:color w:val="002060"/>
                      <w:sz w:val="20"/>
                      <w:szCs w:val="20"/>
                    </w:rPr>
                    <w:t>Graph 17.1 –</w:t>
                  </w:r>
                  <w:r w:rsidRPr="003E1219">
                    <w:rPr>
                      <w:rStyle w:val="Strong"/>
                      <w:color w:val="002060"/>
                      <w:sz w:val="20"/>
                      <w:szCs w:val="20"/>
                    </w:rPr>
                    <w:t xml:space="preserve"> </w:t>
                  </w:r>
                  <w:r w:rsidR="00CA2FD4">
                    <w:rPr>
                      <w:rStyle w:val="Strong"/>
                      <w:color w:val="002060"/>
                      <w:sz w:val="20"/>
                      <w:szCs w:val="20"/>
                    </w:rPr>
                    <w:t>Sahreholders</w:t>
                  </w:r>
                  <w:r>
                    <w:rPr>
                      <w:rStyle w:val="Strong"/>
                      <w:color w:val="002060"/>
                      <w:sz w:val="20"/>
                      <w:szCs w:val="20"/>
                    </w:rPr>
                    <w:t>. Number</w:t>
                  </w:r>
                  <w:r w:rsidRPr="003E1219">
                    <w:rPr>
                      <w:rStyle w:val="Strong"/>
                      <w:color w:val="002060"/>
                      <w:sz w:val="20"/>
                      <w:szCs w:val="20"/>
                    </w:rPr>
                    <w:t xml:space="preserve"> (1997-</w:t>
                  </w:r>
                  <w:r w:rsidR="00CA2FD4">
                    <w:rPr>
                      <w:rStyle w:val="Strong"/>
                      <w:color w:val="002060"/>
                      <w:sz w:val="20"/>
                      <w:szCs w:val="20"/>
                    </w:rPr>
                    <w:t>2010</w:t>
                  </w:r>
                  <w:r w:rsidRPr="003E1219">
                    <w:rPr>
                      <w:rStyle w:val="Strong"/>
                      <w:color w:val="002060"/>
                      <w:sz w:val="20"/>
                      <w:szCs w:val="20"/>
                    </w:rPr>
                    <w:t>)</w:t>
                  </w:r>
                </w:p>
                <w:p w:rsidR="001050C0" w:rsidRPr="003E1219" w:rsidRDefault="00CA2FD4" w:rsidP="003E1219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</w:rPr>
                  </w:pPr>
                  <w:r>
                    <w:rPr>
                      <w:color w:val="002060"/>
                      <w:sz w:val="12"/>
                      <w:szCs w:val="12"/>
                    </w:rPr>
                    <w:object w:dxaOrig="8870" w:dyaOrig="38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3.5pt;height:194.7pt" o:ole="">
                        <v:imagedata r:id="rId9" o:title=""/>
                      </v:shape>
                      <o:OLEObject Type="Embed" ProgID="Excel.Sheet.8" ShapeID="_x0000_i1025" DrawAspect="Content" ObjectID="_1443472713" r:id="rId10"/>
                    </w:object>
                  </w:r>
                </w:p>
                <w:p w:rsidR="001050C0" w:rsidRPr="003E1219" w:rsidRDefault="001050C0" w:rsidP="00CA2FD4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3E1219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Graph made by CAS based on </w:t>
                  </w:r>
                  <w:r w:rsidR="000D1F6B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MIDCLEAR</w:t>
                  </w:r>
                  <w:r w:rsidRPr="003E1219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 xml:space="preserve"> data (</w:t>
                  </w:r>
                  <w:r w:rsidR="00CA2FD4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2010</w:t>
                  </w:r>
                  <w:r w:rsidRPr="003E1219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)</w:t>
                  </w:r>
                </w:p>
                <w:p w:rsidR="001050C0" w:rsidRPr="003E1219" w:rsidRDefault="001050C0" w:rsidP="00BE77E6">
                  <w:pPr>
                    <w:bidi w:val="0"/>
                    <w:jc w:val="center"/>
                    <w:rPr>
                      <w:color w:val="002060"/>
                    </w:rPr>
                  </w:pPr>
                </w:p>
              </w:txbxContent>
            </v:textbox>
            <w10:wrap anchorx="page"/>
          </v:shape>
        </w:pict>
      </w: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Default="00BE77E6" w:rsidP="00BE77E6">
      <w:pPr>
        <w:bidi w:val="0"/>
      </w:pPr>
    </w:p>
    <w:p w:rsidR="003E1219" w:rsidRDefault="003E1219" w:rsidP="003E1219">
      <w:pPr>
        <w:bidi w:val="0"/>
      </w:pPr>
    </w:p>
    <w:p w:rsidR="003E1219" w:rsidRDefault="003E1219" w:rsidP="003E1219">
      <w:pPr>
        <w:bidi w:val="0"/>
      </w:pPr>
    </w:p>
    <w:p w:rsidR="003E1219" w:rsidRDefault="003E1219" w:rsidP="003E1219">
      <w:pPr>
        <w:bidi w:val="0"/>
      </w:pPr>
    </w:p>
    <w:p w:rsidR="003E1219" w:rsidRPr="00F006D9" w:rsidRDefault="00F006D9" w:rsidP="00CA2FD4">
      <w:pPr>
        <w:bidi w:val="0"/>
        <w:rPr>
          <w:sz w:val="22"/>
          <w:szCs w:val="22"/>
        </w:rPr>
      </w:pPr>
      <w:r w:rsidRPr="00F006D9">
        <w:rPr>
          <w:sz w:val="22"/>
          <w:szCs w:val="22"/>
        </w:rPr>
        <w:t>Traded and cleared bonds through MIDCLEAR</w:t>
      </w:r>
      <w:r>
        <w:rPr>
          <w:sz w:val="22"/>
          <w:szCs w:val="22"/>
        </w:rPr>
        <w:t xml:space="preserve"> in </w:t>
      </w:r>
      <w:r w:rsidR="00CA2FD4">
        <w:rPr>
          <w:sz w:val="22"/>
          <w:szCs w:val="22"/>
        </w:rPr>
        <w:t>2010</w:t>
      </w:r>
      <w:r>
        <w:rPr>
          <w:sz w:val="22"/>
          <w:szCs w:val="22"/>
        </w:rPr>
        <w:t>:</w:t>
      </w:r>
    </w:p>
    <w:p w:rsidR="003E1219" w:rsidRPr="00907464" w:rsidRDefault="00E373E7" w:rsidP="00EC7E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73E7">
        <w:rPr>
          <w:rFonts w:ascii="Times New Roman" w:hAnsi="Times New Roman" w:cs="Times New Roman"/>
        </w:rPr>
        <w:t xml:space="preserve">Value: </w:t>
      </w:r>
      <w:r w:rsidR="00EC7E5A" w:rsidRPr="00EC7E5A">
        <w:rPr>
          <w:rFonts w:ascii="Times New Roman" w:hAnsi="Times New Roman" w:cs="Times New Roman"/>
        </w:rPr>
        <w:t xml:space="preserve">1,869,923,688 </w:t>
      </w:r>
      <w:r w:rsidR="00907464">
        <w:rPr>
          <w:rFonts w:ascii="Times New Roman" w:hAnsi="Times New Roman" w:cs="Times New Roman"/>
        </w:rPr>
        <w:t xml:space="preserve"> </w:t>
      </w:r>
      <w:r w:rsidR="004A3637">
        <w:rPr>
          <w:rFonts w:ascii="Times New Roman" w:hAnsi="Times New Roman" w:cs="Times New Roman"/>
        </w:rPr>
        <w:t xml:space="preserve">USD </w:t>
      </w:r>
      <w:r w:rsidR="00907464" w:rsidRPr="003E1219">
        <w:rPr>
          <w:rFonts w:asciiTheme="majorBidi" w:hAnsiTheme="majorBidi" w:cstheme="majorBidi"/>
        </w:rPr>
        <w:t xml:space="preserve">(increase of </w:t>
      </w:r>
      <w:r w:rsidR="00EC7E5A">
        <w:rPr>
          <w:rFonts w:asciiTheme="majorBidi" w:hAnsiTheme="majorBidi" w:cstheme="majorBidi"/>
        </w:rPr>
        <w:t>192.2</w:t>
      </w:r>
      <w:r w:rsidR="00907464" w:rsidRPr="003E1219">
        <w:rPr>
          <w:rFonts w:asciiTheme="majorBidi" w:hAnsiTheme="majorBidi" w:cstheme="majorBidi"/>
        </w:rPr>
        <w:t>% compared to 1997).</w:t>
      </w:r>
    </w:p>
    <w:p w:rsidR="00907464" w:rsidRPr="00907464" w:rsidRDefault="00907464" w:rsidP="00EC7E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7464">
        <w:rPr>
          <w:rFonts w:ascii="Times New Roman" w:hAnsi="Times New Roman" w:cs="Times New Roman"/>
        </w:rPr>
        <w:t>Value cleared</w:t>
      </w:r>
      <w:r>
        <w:rPr>
          <w:rFonts w:ascii="Times New Roman" w:hAnsi="Times New Roman" w:cs="Times New Roman"/>
        </w:rPr>
        <w:t>:</w:t>
      </w:r>
      <w:r w:rsidRPr="00907464">
        <w:rPr>
          <w:rFonts w:ascii="Times New Roman" w:hAnsi="Times New Roman" w:cs="Times New Roman"/>
        </w:rPr>
        <w:t xml:space="preserve"> </w:t>
      </w:r>
      <w:r w:rsidR="00EC7E5A" w:rsidRPr="00EC7E5A">
        <w:rPr>
          <w:rFonts w:ascii="Times New Roman" w:hAnsi="Times New Roman" w:cs="Times New Roman"/>
        </w:rPr>
        <w:t xml:space="preserve">3,739,847,950 </w:t>
      </w:r>
      <w:r w:rsidR="004A3637" w:rsidRPr="00907464">
        <w:rPr>
          <w:rFonts w:ascii="Times New Roman" w:hAnsi="Times New Roman" w:cs="Times New Roman"/>
        </w:rPr>
        <w:t>USD</w:t>
      </w:r>
      <w:r w:rsidR="004A3637">
        <w:rPr>
          <w:rFonts w:ascii="Times New Roman" w:hAnsi="Times New Roman" w:cs="Times New Roman"/>
        </w:rPr>
        <w:t xml:space="preserve"> </w:t>
      </w:r>
      <w:r w:rsidRPr="003E1219">
        <w:rPr>
          <w:rFonts w:asciiTheme="majorBidi" w:hAnsiTheme="majorBidi" w:cstheme="majorBidi"/>
        </w:rPr>
        <w:t xml:space="preserve">(increase of </w:t>
      </w:r>
      <w:r w:rsidR="00EC7E5A">
        <w:rPr>
          <w:rFonts w:asciiTheme="majorBidi" w:hAnsiTheme="majorBidi" w:cstheme="majorBidi"/>
        </w:rPr>
        <w:t>192.2</w:t>
      </w:r>
      <w:r w:rsidRPr="003E1219">
        <w:rPr>
          <w:rFonts w:asciiTheme="majorBidi" w:hAnsiTheme="majorBidi" w:cstheme="majorBidi"/>
        </w:rPr>
        <w:t>% compared to 1997).</w:t>
      </w:r>
    </w:p>
    <w:p w:rsidR="00907464" w:rsidRPr="00E373E7" w:rsidRDefault="00907464" w:rsidP="00EC7E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7464">
        <w:rPr>
          <w:rFonts w:ascii="Times New Roman" w:hAnsi="Times New Roman" w:cs="Times New Roman"/>
        </w:rPr>
        <w:t>Management of Registrars</w:t>
      </w:r>
      <w:r>
        <w:rPr>
          <w:rFonts w:ascii="Times New Roman" w:hAnsi="Times New Roman" w:cs="Times New Roman"/>
        </w:rPr>
        <w:t xml:space="preserve">. </w:t>
      </w:r>
      <w:r w:rsidRPr="00907464">
        <w:rPr>
          <w:rFonts w:ascii="Times New Roman" w:hAnsi="Times New Roman" w:cs="Times New Roman"/>
        </w:rPr>
        <w:t>Market Value of Shares</w:t>
      </w:r>
      <w:r>
        <w:rPr>
          <w:rFonts w:ascii="Times New Roman" w:hAnsi="Times New Roman" w:cs="Times New Roman"/>
        </w:rPr>
        <w:t xml:space="preserve">: </w:t>
      </w:r>
      <w:r w:rsidR="00EC7E5A" w:rsidRPr="00EC7E5A">
        <w:rPr>
          <w:rFonts w:ascii="Times New Roman" w:hAnsi="Times New Roman" w:cs="Times New Roman"/>
        </w:rPr>
        <w:t xml:space="preserve">13,586,165,108 </w:t>
      </w:r>
      <w:r w:rsidR="004A3637">
        <w:rPr>
          <w:rFonts w:ascii="Times New Roman" w:hAnsi="Times New Roman" w:cs="Times New Roman"/>
        </w:rPr>
        <w:t xml:space="preserve">USD </w:t>
      </w:r>
      <w:r w:rsidRPr="003E1219">
        <w:rPr>
          <w:rFonts w:asciiTheme="majorBidi" w:hAnsiTheme="majorBidi" w:cstheme="majorBidi"/>
        </w:rPr>
        <w:t xml:space="preserve">(increase of </w:t>
      </w:r>
      <w:r w:rsidR="00EC7E5A">
        <w:rPr>
          <w:rFonts w:asciiTheme="majorBidi" w:hAnsiTheme="majorBidi" w:cstheme="majorBidi"/>
        </w:rPr>
        <w:t>6,686</w:t>
      </w:r>
      <w:r w:rsidRPr="003E1219">
        <w:rPr>
          <w:rFonts w:asciiTheme="majorBidi" w:hAnsiTheme="majorBidi" w:cstheme="majorBidi"/>
        </w:rPr>
        <w:t>% compared to 1997).</w:t>
      </w:r>
    </w:p>
    <w:p w:rsidR="003E1219" w:rsidRDefault="003E1219" w:rsidP="003E1219">
      <w:pPr>
        <w:bidi w:val="0"/>
      </w:pPr>
    </w:p>
    <w:p w:rsidR="004A3637" w:rsidRDefault="004A3637" w:rsidP="004A3637">
      <w:pPr>
        <w:bidi w:val="0"/>
      </w:pPr>
      <w:r w:rsidRPr="004A3637">
        <w:t>MIDCLEAR total assets under custody</w:t>
      </w:r>
      <w:r>
        <w:t>:</w:t>
      </w:r>
    </w:p>
    <w:p w:rsidR="003E1219" w:rsidRDefault="004A3637" w:rsidP="00B34516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December </w:t>
      </w:r>
      <w:r w:rsidR="00B34516">
        <w:rPr>
          <w:rFonts w:asciiTheme="majorBidi" w:hAnsiTheme="majorBidi" w:cstheme="majorBidi"/>
        </w:rPr>
        <w:t>2010</w:t>
      </w:r>
      <w:r w:rsidRPr="004A3637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="00B34516">
        <w:rPr>
          <w:rFonts w:asciiTheme="majorBidi" w:hAnsiTheme="majorBidi" w:cstheme="majorBidi"/>
        </w:rPr>
        <w:t>29</w:t>
      </w:r>
      <w:r>
        <w:rPr>
          <w:rFonts w:asciiTheme="majorBidi" w:hAnsiTheme="majorBidi" w:cstheme="majorBidi"/>
        </w:rPr>
        <w:t>.</w:t>
      </w:r>
      <w:r w:rsidR="00B34516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 billion USD.</w:t>
      </w:r>
    </w:p>
    <w:p w:rsidR="004A3637" w:rsidRDefault="004A3637" w:rsidP="00B34516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December </w:t>
      </w:r>
      <w:r w:rsidR="00B34516">
        <w:rPr>
          <w:rFonts w:asciiTheme="majorBidi" w:hAnsiTheme="majorBidi" w:cstheme="majorBidi"/>
        </w:rPr>
        <w:t>2005</w:t>
      </w:r>
      <w:r>
        <w:rPr>
          <w:rFonts w:asciiTheme="majorBidi" w:hAnsiTheme="majorBidi" w:cstheme="majorBidi"/>
        </w:rPr>
        <w:t>: 16.7 billion USD.</w:t>
      </w:r>
    </w:p>
    <w:p w:rsidR="004A3637" w:rsidRPr="004A3637" w:rsidRDefault="004A3637" w:rsidP="00B34516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December </w:t>
      </w:r>
      <w:r w:rsidR="00EC7E5A">
        <w:rPr>
          <w:rFonts w:asciiTheme="majorBidi" w:hAnsiTheme="majorBidi" w:cstheme="majorBidi"/>
        </w:rPr>
        <w:t>2010</w:t>
      </w:r>
      <w:r>
        <w:rPr>
          <w:rFonts w:asciiTheme="majorBidi" w:hAnsiTheme="majorBidi" w:cstheme="majorBidi"/>
        </w:rPr>
        <w:t xml:space="preserve">compared December 2005: increase of </w:t>
      </w:r>
      <w:r w:rsidR="00B34516">
        <w:rPr>
          <w:rFonts w:asciiTheme="majorBidi" w:hAnsiTheme="majorBidi" w:cstheme="majorBidi"/>
        </w:rPr>
        <w:t>74.6</w:t>
      </w:r>
      <w:r>
        <w:rPr>
          <w:rFonts w:asciiTheme="majorBidi" w:hAnsiTheme="majorBidi" w:cstheme="majorBidi"/>
        </w:rPr>
        <w:t>%.</w:t>
      </w:r>
    </w:p>
    <w:p w:rsidR="003E1219" w:rsidRDefault="003E1219" w:rsidP="003E1219">
      <w:pPr>
        <w:bidi w:val="0"/>
      </w:pPr>
    </w:p>
    <w:p w:rsidR="00631C8F" w:rsidRPr="002822B5" w:rsidRDefault="00631C8F" w:rsidP="001946CA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lastRenderedPageBreak/>
        <w:t>MIDCLEAR bala</w:t>
      </w:r>
      <w:r w:rsidR="001946CA"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>n</w: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>ce sheet</w:t>
      </w:r>
    </w:p>
    <w:p w:rsidR="00631C8F" w:rsidRDefault="001946CA" w:rsidP="0057442B">
      <w:pPr>
        <w:bidi w:val="0"/>
      </w:pPr>
      <w:r>
        <w:t>MIDCLEAR balance sheet consists of total assets and total equity and liabilities.</w:t>
      </w:r>
    </w:p>
    <w:p w:rsidR="001946CA" w:rsidRDefault="001946CA" w:rsidP="001946CA">
      <w:pPr>
        <w:bidi w:val="0"/>
      </w:pPr>
    </w:p>
    <w:p w:rsidR="001946CA" w:rsidRPr="00D40301" w:rsidRDefault="001946CA" w:rsidP="001946CA">
      <w:pPr>
        <w:bidi w:val="0"/>
        <w:spacing w:line="288" w:lineRule="auto"/>
        <w:jc w:val="center"/>
        <w:rPr>
          <w:b/>
          <w:bCs/>
          <w:sz w:val="22"/>
          <w:szCs w:val="22"/>
        </w:rPr>
      </w:pPr>
      <w:r w:rsidRPr="00D40301">
        <w:rPr>
          <w:b/>
          <w:bCs/>
          <w:sz w:val="22"/>
          <w:szCs w:val="22"/>
        </w:rPr>
        <w:t>Table 17.1 – Balance Sheet. LBP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016"/>
        <w:gridCol w:w="1566"/>
        <w:gridCol w:w="3055"/>
      </w:tblGrid>
      <w:tr w:rsidR="00B679E3" w:rsidRPr="00D40301" w:rsidTr="008630F6"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D40301" w:rsidRDefault="00B679E3" w:rsidP="00572BAC">
            <w:pPr>
              <w:bidi w:val="0"/>
              <w:spacing w:line="384" w:lineRule="auto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D40301" w:rsidRDefault="00B679E3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D40301" w:rsidRDefault="00D40301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D40301" w:rsidRDefault="00B679E3" w:rsidP="00D40301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>Change (20</w:t>
            </w:r>
            <w:r w:rsidR="00D40301" w:rsidRPr="00D40301">
              <w:rPr>
                <w:b/>
                <w:bCs/>
                <w:sz w:val="16"/>
                <w:szCs w:val="16"/>
              </w:rPr>
              <w:t>10</w:t>
            </w:r>
            <w:r w:rsidRPr="00D40301">
              <w:rPr>
                <w:b/>
                <w:bCs/>
                <w:sz w:val="16"/>
                <w:szCs w:val="16"/>
              </w:rPr>
              <w:t xml:space="preserve">/2001). </w:t>
            </w:r>
            <w:r w:rsidR="000D1F6B" w:rsidRPr="00D40301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D40301" w:rsidRPr="00D40301" w:rsidTr="00D40301"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</w:tcPr>
          <w:p w:rsidR="00D40301" w:rsidRPr="00D40301" w:rsidRDefault="00D40301" w:rsidP="00572BAC">
            <w:pPr>
              <w:bidi w:val="0"/>
              <w:spacing w:line="384" w:lineRule="auto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>Total assets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D40301" w:rsidRPr="00D40301" w:rsidRDefault="00D40301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 xml:space="preserve">    3,080,608,594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 xml:space="preserve">    25,262,975,794 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>720</w:t>
            </w:r>
          </w:p>
        </w:tc>
      </w:tr>
      <w:tr w:rsidR="00D40301" w:rsidRPr="00D40301" w:rsidTr="00D40301">
        <w:tc>
          <w:tcPr>
            <w:tcW w:w="2556" w:type="dxa"/>
            <w:tcBorders>
              <w:top w:val="single" w:sz="12" w:space="0" w:color="auto"/>
              <w:bottom w:val="dotted" w:sz="4" w:space="0" w:color="auto"/>
            </w:tcBorders>
          </w:tcPr>
          <w:p w:rsidR="00D40301" w:rsidRPr="00D40301" w:rsidRDefault="00D40301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Non-current assets</w:t>
            </w:r>
          </w:p>
        </w:tc>
        <w:tc>
          <w:tcPr>
            <w:tcW w:w="20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40301" w:rsidRPr="00D40301" w:rsidRDefault="00D40301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 323,277,907 </w:t>
            </w:r>
          </w:p>
        </w:tc>
        <w:tc>
          <w:tcPr>
            <w:tcW w:w="1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 8,917,116,737 </w:t>
            </w:r>
          </w:p>
        </w:tc>
        <w:tc>
          <w:tcPr>
            <w:tcW w:w="30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>2,658</w:t>
            </w:r>
          </w:p>
        </w:tc>
      </w:tr>
      <w:tr w:rsidR="00D40301" w:rsidRPr="00D40301" w:rsidTr="00D40301">
        <w:tc>
          <w:tcPr>
            <w:tcW w:w="2556" w:type="dxa"/>
            <w:tcBorders>
              <w:top w:val="dotted" w:sz="4" w:space="0" w:color="auto"/>
              <w:bottom w:val="single" w:sz="12" w:space="0" w:color="auto"/>
            </w:tcBorders>
          </w:tcPr>
          <w:p w:rsidR="00D40301" w:rsidRPr="00D40301" w:rsidRDefault="00D40301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Current assets</w:t>
            </w:r>
          </w:p>
        </w:tc>
        <w:tc>
          <w:tcPr>
            <w:tcW w:w="20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40301" w:rsidRPr="00D40301" w:rsidRDefault="00D40301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         265,038,492 </w:t>
            </w:r>
          </w:p>
        </w:tc>
        <w:tc>
          <w:tcPr>
            <w:tcW w:w="1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16,345,859,057 </w:t>
            </w:r>
          </w:p>
        </w:tc>
        <w:tc>
          <w:tcPr>
            <w:tcW w:w="30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>493</w:t>
            </w:r>
          </w:p>
        </w:tc>
      </w:tr>
      <w:tr w:rsidR="00D40301" w:rsidRPr="00D40301" w:rsidTr="00D40301"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</w:tcPr>
          <w:p w:rsidR="00D40301" w:rsidRPr="00D40301" w:rsidRDefault="00D40301" w:rsidP="00572BAC">
            <w:pPr>
              <w:bidi w:val="0"/>
              <w:spacing w:line="384" w:lineRule="auto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>Total equity and liabilities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D40301" w:rsidRPr="00D40301" w:rsidRDefault="00D40301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 xml:space="preserve">    3,080,608,594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 xml:space="preserve">    25,262,975,794 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>720</w:t>
            </w:r>
          </w:p>
        </w:tc>
      </w:tr>
      <w:tr w:rsidR="00D40301" w:rsidRPr="00D40301" w:rsidTr="00D40301">
        <w:tc>
          <w:tcPr>
            <w:tcW w:w="2556" w:type="dxa"/>
            <w:tcBorders>
              <w:top w:val="single" w:sz="12" w:space="0" w:color="auto"/>
              <w:bottom w:val="dotted" w:sz="4" w:space="0" w:color="auto"/>
            </w:tcBorders>
          </w:tcPr>
          <w:p w:rsidR="00D40301" w:rsidRPr="00D40301" w:rsidRDefault="00D40301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Total equity</w:t>
            </w:r>
          </w:p>
        </w:tc>
        <w:tc>
          <w:tcPr>
            <w:tcW w:w="2016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:rsidR="00D40301" w:rsidRPr="00D40301" w:rsidRDefault="00D40301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2,618,150,029 </w:t>
            </w:r>
          </w:p>
        </w:tc>
        <w:tc>
          <w:tcPr>
            <w:tcW w:w="1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23,133,210,015 </w:t>
            </w:r>
          </w:p>
        </w:tc>
        <w:tc>
          <w:tcPr>
            <w:tcW w:w="30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>784</w:t>
            </w:r>
          </w:p>
        </w:tc>
      </w:tr>
      <w:tr w:rsidR="00D40301" w:rsidRPr="00D40301" w:rsidTr="00D40301"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</w:tcPr>
          <w:p w:rsidR="00D40301" w:rsidRPr="00D40301" w:rsidRDefault="00D40301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Non-current liabilities</w:t>
            </w:r>
          </w:p>
        </w:tc>
        <w:tc>
          <w:tcPr>
            <w:tcW w:w="20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0301" w:rsidRPr="00D40301" w:rsidRDefault="00D40301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          84,294,375 </w:t>
            </w:r>
          </w:p>
        </w:tc>
        <w:tc>
          <w:tcPr>
            <w:tcW w:w="1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   980,601,136 </w:t>
            </w: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>420</w:t>
            </w:r>
          </w:p>
        </w:tc>
      </w:tr>
      <w:tr w:rsidR="00D40301" w:rsidRPr="00D40301" w:rsidTr="00D40301">
        <w:tc>
          <w:tcPr>
            <w:tcW w:w="2556" w:type="dxa"/>
            <w:tcBorders>
              <w:top w:val="dotted" w:sz="4" w:space="0" w:color="auto"/>
              <w:bottom w:val="single" w:sz="12" w:space="0" w:color="auto"/>
            </w:tcBorders>
          </w:tcPr>
          <w:p w:rsidR="00D40301" w:rsidRPr="00D40301" w:rsidRDefault="00D40301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Current liabilities</w:t>
            </w:r>
          </w:p>
        </w:tc>
        <w:tc>
          <w:tcPr>
            <w:tcW w:w="2016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D40301" w:rsidRPr="00D40301" w:rsidRDefault="00D40301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         104,390,333 </w:t>
            </w:r>
          </w:p>
        </w:tc>
        <w:tc>
          <w:tcPr>
            <w:tcW w:w="1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 1,149,164,643 </w:t>
            </w:r>
          </w:p>
        </w:tc>
        <w:tc>
          <w:tcPr>
            <w:tcW w:w="30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40301" w:rsidRPr="00D40301" w:rsidRDefault="00D40301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>320</w:t>
            </w:r>
          </w:p>
        </w:tc>
      </w:tr>
    </w:tbl>
    <w:p w:rsidR="00B679E3" w:rsidRPr="00FF61F1" w:rsidRDefault="00B679E3" w:rsidP="00D40301">
      <w:pPr>
        <w:bidi w:val="0"/>
        <w:jc w:val="center"/>
        <w:rPr>
          <w:i/>
          <w:iCs/>
        </w:rPr>
      </w:pPr>
      <w:r w:rsidRPr="00FF61F1">
        <w:rPr>
          <w:i/>
          <w:iCs/>
          <w:sz w:val="18"/>
          <w:szCs w:val="18"/>
        </w:rPr>
        <w:t xml:space="preserve">Table made by CAS based on </w:t>
      </w:r>
      <w:r>
        <w:rPr>
          <w:i/>
          <w:iCs/>
          <w:sz w:val="18"/>
          <w:szCs w:val="18"/>
        </w:rPr>
        <w:t>MIDCLEAR</w:t>
      </w:r>
      <w:r w:rsidRPr="00FF61F1">
        <w:rPr>
          <w:i/>
          <w:iCs/>
          <w:sz w:val="18"/>
          <w:szCs w:val="18"/>
        </w:rPr>
        <w:t xml:space="preserve"> data (</w:t>
      </w:r>
      <w:r w:rsidR="00D40301">
        <w:rPr>
          <w:i/>
          <w:iCs/>
          <w:sz w:val="18"/>
          <w:szCs w:val="18"/>
        </w:rPr>
        <w:t>2010</w:t>
      </w:r>
      <w:r w:rsidRPr="00FF61F1">
        <w:rPr>
          <w:i/>
          <w:iCs/>
          <w:sz w:val="18"/>
          <w:szCs w:val="18"/>
        </w:rPr>
        <w:t>)</w:t>
      </w:r>
    </w:p>
    <w:p w:rsidR="001946CA" w:rsidRDefault="001946CA" w:rsidP="001946CA">
      <w:pPr>
        <w:bidi w:val="0"/>
      </w:pPr>
    </w:p>
    <w:p w:rsidR="00B679E3" w:rsidRPr="002822B5" w:rsidRDefault="00B679E3" w:rsidP="008630F6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 xml:space="preserve">MIDCLEAR </w:t>
      </w:r>
      <w:r w:rsidR="008630F6"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>Income statement</w:t>
      </w:r>
    </w:p>
    <w:p w:rsidR="00B679E3" w:rsidRDefault="00B679E3" w:rsidP="008630F6">
      <w:pPr>
        <w:bidi w:val="0"/>
      </w:pPr>
      <w:r>
        <w:t xml:space="preserve">MIDCLEAR </w:t>
      </w:r>
      <w:r w:rsidR="008630F6">
        <w:t xml:space="preserve">income statement </w:t>
      </w:r>
      <w:r>
        <w:t xml:space="preserve">consists of </w:t>
      </w:r>
      <w:r w:rsidR="008630F6">
        <w:t>gross profits and net profit for the year</w:t>
      </w:r>
      <w:r>
        <w:t>.</w:t>
      </w:r>
    </w:p>
    <w:p w:rsidR="00B679E3" w:rsidRDefault="00B679E3" w:rsidP="00B679E3">
      <w:pPr>
        <w:bidi w:val="0"/>
      </w:pPr>
    </w:p>
    <w:p w:rsidR="00B679E3" w:rsidRPr="00D40301" w:rsidRDefault="00B679E3" w:rsidP="008630F6">
      <w:pPr>
        <w:bidi w:val="0"/>
        <w:spacing w:line="288" w:lineRule="auto"/>
        <w:jc w:val="center"/>
        <w:rPr>
          <w:b/>
          <w:bCs/>
          <w:sz w:val="22"/>
          <w:szCs w:val="22"/>
        </w:rPr>
      </w:pPr>
      <w:r w:rsidRPr="00D40301">
        <w:rPr>
          <w:b/>
          <w:bCs/>
          <w:sz w:val="22"/>
          <w:szCs w:val="22"/>
        </w:rPr>
        <w:t>Table 17.</w:t>
      </w:r>
      <w:r w:rsidR="008630F6" w:rsidRPr="00D40301">
        <w:rPr>
          <w:b/>
          <w:bCs/>
          <w:sz w:val="22"/>
          <w:szCs w:val="22"/>
        </w:rPr>
        <w:t>2</w:t>
      </w:r>
      <w:r w:rsidRPr="00D40301">
        <w:rPr>
          <w:b/>
          <w:bCs/>
          <w:sz w:val="22"/>
          <w:szCs w:val="22"/>
        </w:rPr>
        <w:t xml:space="preserve"> – </w:t>
      </w:r>
      <w:r w:rsidR="008630F6" w:rsidRPr="00D40301">
        <w:rPr>
          <w:b/>
          <w:bCs/>
          <w:sz w:val="22"/>
          <w:szCs w:val="22"/>
        </w:rPr>
        <w:t>Income statement</w:t>
      </w:r>
      <w:r w:rsidRPr="00D40301">
        <w:rPr>
          <w:b/>
          <w:bCs/>
          <w:sz w:val="22"/>
          <w:szCs w:val="22"/>
        </w:rPr>
        <w:t>. LBP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016"/>
        <w:gridCol w:w="1836"/>
        <w:gridCol w:w="3055"/>
      </w:tblGrid>
      <w:tr w:rsidR="00B679E3" w:rsidRPr="00A3578A" w:rsidTr="001050C0"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A3578A" w:rsidRDefault="00B679E3" w:rsidP="00572BAC">
            <w:pPr>
              <w:bidi w:val="0"/>
              <w:spacing w:line="384" w:lineRule="auto"/>
              <w:rPr>
                <w:b/>
                <w:bCs/>
                <w:sz w:val="16"/>
                <w:szCs w:val="16"/>
              </w:rPr>
            </w:pPr>
            <w:r w:rsidRPr="00A3578A">
              <w:rPr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A3578A" w:rsidRDefault="00B679E3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A3578A">
              <w:rPr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A3578A" w:rsidRDefault="00D40301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A3578A">
              <w:rPr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A3578A" w:rsidRDefault="00B679E3" w:rsidP="00D40301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A3578A">
              <w:rPr>
                <w:b/>
                <w:bCs/>
                <w:sz w:val="16"/>
                <w:szCs w:val="16"/>
              </w:rPr>
              <w:t>Change (</w:t>
            </w:r>
            <w:r w:rsidR="00D40301" w:rsidRPr="00A3578A">
              <w:rPr>
                <w:b/>
                <w:bCs/>
                <w:sz w:val="16"/>
                <w:szCs w:val="16"/>
              </w:rPr>
              <w:t>2010</w:t>
            </w:r>
            <w:r w:rsidRPr="00A3578A">
              <w:rPr>
                <w:b/>
                <w:bCs/>
                <w:sz w:val="16"/>
                <w:szCs w:val="16"/>
              </w:rPr>
              <w:t xml:space="preserve">/2001). </w:t>
            </w:r>
            <w:r w:rsidR="000D1F6B" w:rsidRPr="00A3578A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A3578A" w:rsidRPr="00A3578A" w:rsidTr="00A3578A">
        <w:tc>
          <w:tcPr>
            <w:tcW w:w="2556" w:type="dxa"/>
            <w:tcBorders>
              <w:top w:val="single" w:sz="12" w:space="0" w:color="auto"/>
              <w:bottom w:val="dotted" w:sz="4" w:space="0" w:color="auto"/>
            </w:tcBorders>
          </w:tcPr>
          <w:p w:rsidR="00A3578A" w:rsidRPr="00A3578A" w:rsidRDefault="00A3578A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A3578A">
              <w:rPr>
                <w:i/>
                <w:iCs/>
                <w:sz w:val="16"/>
                <w:szCs w:val="16"/>
              </w:rPr>
              <w:t>Gross profit</w:t>
            </w:r>
          </w:p>
        </w:tc>
        <w:tc>
          <w:tcPr>
            <w:tcW w:w="2016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:rsidR="00A3578A" w:rsidRPr="00A3578A" w:rsidRDefault="00A3578A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A3578A">
              <w:rPr>
                <w:i/>
                <w:iCs/>
                <w:sz w:val="16"/>
                <w:szCs w:val="16"/>
              </w:rPr>
              <w:t xml:space="preserve">     1,046,753,521 </w:t>
            </w:r>
          </w:p>
        </w:tc>
        <w:tc>
          <w:tcPr>
            <w:tcW w:w="183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3578A" w:rsidRPr="00A3578A" w:rsidRDefault="00A3578A" w:rsidP="00A3578A">
            <w:pPr>
              <w:bidi w:val="0"/>
              <w:jc w:val="right"/>
              <w:rPr>
                <w:i/>
                <w:iCs/>
                <w:sz w:val="16"/>
                <w:szCs w:val="16"/>
              </w:rPr>
            </w:pPr>
            <w:r w:rsidRPr="00A3578A">
              <w:rPr>
                <w:i/>
                <w:iCs/>
                <w:sz w:val="16"/>
                <w:szCs w:val="16"/>
              </w:rPr>
              <w:t xml:space="preserve">  7,127,844,420 </w:t>
            </w:r>
          </w:p>
        </w:tc>
        <w:tc>
          <w:tcPr>
            <w:tcW w:w="30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3578A" w:rsidRPr="00A3578A" w:rsidRDefault="00A3578A" w:rsidP="00A3578A">
            <w:pPr>
              <w:bidi w:val="0"/>
              <w:jc w:val="right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>581</w:t>
            </w:r>
          </w:p>
        </w:tc>
      </w:tr>
      <w:tr w:rsidR="00A3578A" w:rsidRPr="00A3578A" w:rsidTr="00A3578A"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</w:tcPr>
          <w:p w:rsidR="00A3578A" w:rsidRPr="00A3578A" w:rsidRDefault="00A3578A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>Profit from operation</w:t>
            </w:r>
          </w:p>
        </w:tc>
        <w:tc>
          <w:tcPr>
            <w:tcW w:w="20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578A" w:rsidRPr="00A3578A" w:rsidRDefault="00A3578A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 xml:space="preserve">        121,344,880 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578A" w:rsidRPr="00A3578A" w:rsidRDefault="00A3578A" w:rsidP="00A3578A">
            <w:pPr>
              <w:bidi w:val="0"/>
              <w:jc w:val="right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 xml:space="preserve">   4,980,349,234 </w:t>
            </w: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578A" w:rsidRPr="00A3578A" w:rsidRDefault="00A3578A" w:rsidP="00A3578A">
            <w:pPr>
              <w:bidi w:val="0"/>
              <w:jc w:val="right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>4004</w:t>
            </w:r>
          </w:p>
        </w:tc>
      </w:tr>
      <w:tr w:rsidR="00A3578A" w:rsidRPr="00A3578A" w:rsidTr="00A3578A"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</w:tcPr>
          <w:p w:rsidR="00A3578A" w:rsidRPr="00A3578A" w:rsidRDefault="00A3578A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A3578A">
              <w:rPr>
                <w:i/>
                <w:iCs/>
                <w:sz w:val="16"/>
                <w:szCs w:val="16"/>
              </w:rPr>
              <w:t>Profit before income tax</w:t>
            </w:r>
          </w:p>
        </w:tc>
        <w:tc>
          <w:tcPr>
            <w:tcW w:w="20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578A" w:rsidRPr="00A3578A" w:rsidRDefault="00A3578A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A3578A">
              <w:rPr>
                <w:i/>
                <w:iCs/>
                <w:sz w:val="16"/>
                <w:szCs w:val="16"/>
              </w:rPr>
              <w:t xml:space="preserve">        340,445,762 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578A" w:rsidRPr="00A3578A" w:rsidRDefault="00A3578A" w:rsidP="00A3578A">
            <w:pPr>
              <w:bidi w:val="0"/>
              <w:jc w:val="right"/>
              <w:rPr>
                <w:i/>
                <w:iCs/>
                <w:sz w:val="16"/>
                <w:szCs w:val="16"/>
              </w:rPr>
            </w:pPr>
            <w:r w:rsidRPr="00A3578A">
              <w:rPr>
                <w:i/>
                <w:iCs/>
                <w:sz w:val="16"/>
                <w:szCs w:val="16"/>
              </w:rPr>
              <w:t xml:space="preserve">  4,949,147,721 </w:t>
            </w: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578A" w:rsidRPr="00A3578A" w:rsidRDefault="00A3578A" w:rsidP="00A3578A">
            <w:pPr>
              <w:bidi w:val="0"/>
              <w:jc w:val="right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>1354</w:t>
            </w:r>
          </w:p>
        </w:tc>
      </w:tr>
      <w:tr w:rsidR="00A3578A" w:rsidRPr="00A3578A" w:rsidTr="00A3578A">
        <w:tc>
          <w:tcPr>
            <w:tcW w:w="2556" w:type="dxa"/>
            <w:tcBorders>
              <w:top w:val="dotted" w:sz="4" w:space="0" w:color="auto"/>
              <w:bottom w:val="single" w:sz="12" w:space="0" w:color="auto"/>
            </w:tcBorders>
          </w:tcPr>
          <w:p w:rsidR="00A3578A" w:rsidRPr="00A3578A" w:rsidRDefault="00A3578A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>Net profit for the year</w:t>
            </w:r>
          </w:p>
        </w:tc>
        <w:tc>
          <w:tcPr>
            <w:tcW w:w="2016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A3578A" w:rsidRPr="00A3578A" w:rsidRDefault="00A3578A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 xml:space="preserve">        321,695,762 </w:t>
            </w:r>
          </w:p>
        </w:tc>
        <w:tc>
          <w:tcPr>
            <w:tcW w:w="18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3578A" w:rsidRPr="00A3578A" w:rsidRDefault="00A3578A" w:rsidP="00A3578A">
            <w:pPr>
              <w:bidi w:val="0"/>
              <w:jc w:val="right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 xml:space="preserve">   4,239,350,402 </w:t>
            </w:r>
          </w:p>
        </w:tc>
        <w:tc>
          <w:tcPr>
            <w:tcW w:w="30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3578A" w:rsidRPr="00A3578A" w:rsidRDefault="00A3578A" w:rsidP="00A3578A">
            <w:pPr>
              <w:bidi w:val="0"/>
              <w:jc w:val="right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>1218</w:t>
            </w:r>
          </w:p>
        </w:tc>
      </w:tr>
    </w:tbl>
    <w:p w:rsidR="00B679E3" w:rsidRPr="00FF61F1" w:rsidRDefault="00B679E3" w:rsidP="00D40301">
      <w:pPr>
        <w:bidi w:val="0"/>
        <w:jc w:val="center"/>
        <w:rPr>
          <w:i/>
          <w:iCs/>
        </w:rPr>
      </w:pPr>
      <w:r w:rsidRPr="00FF61F1">
        <w:rPr>
          <w:i/>
          <w:iCs/>
          <w:sz w:val="18"/>
          <w:szCs w:val="18"/>
        </w:rPr>
        <w:t xml:space="preserve">Table made by CAS based on </w:t>
      </w:r>
      <w:r>
        <w:rPr>
          <w:i/>
          <w:iCs/>
          <w:sz w:val="18"/>
          <w:szCs w:val="18"/>
        </w:rPr>
        <w:t>MIDCLEAR</w:t>
      </w:r>
      <w:r w:rsidRPr="00FF61F1">
        <w:rPr>
          <w:i/>
          <w:iCs/>
          <w:sz w:val="18"/>
          <w:szCs w:val="18"/>
        </w:rPr>
        <w:t xml:space="preserve"> data (</w:t>
      </w:r>
      <w:r w:rsidR="00D40301">
        <w:rPr>
          <w:i/>
          <w:iCs/>
          <w:sz w:val="18"/>
          <w:szCs w:val="18"/>
        </w:rPr>
        <w:t>2010</w:t>
      </w:r>
      <w:r w:rsidRPr="00FF61F1">
        <w:rPr>
          <w:i/>
          <w:iCs/>
          <w:sz w:val="18"/>
          <w:szCs w:val="18"/>
        </w:rPr>
        <w:t>)</w:t>
      </w:r>
    </w:p>
    <w:p w:rsidR="00631C8F" w:rsidRDefault="00631C8F" w:rsidP="00631C8F">
      <w:pPr>
        <w:bidi w:val="0"/>
      </w:pPr>
    </w:p>
    <w:p w:rsidR="00930BE1" w:rsidRPr="002822B5" w:rsidRDefault="00930BE1" w:rsidP="00930BE1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>MIDCLEAR Statementof Cash Flows</w:t>
      </w:r>
    </w:p>
    <w:p w:rsidR="00930BE1" w:rsidRDefault="00930BE1" w:rsidP="00930BE1">
      <w:pPr>
        <w:bidi w:val="0"/>
      </w:pPr>
      <w:r>
        <w:t xml:space="preserve">MIDCLEAR statement of </w:t>
      </w:r>
      <w:r w:rsidR="000D1F6B">
        <w:t>c</w:t>
      </w:r>
      <w:r>
        <w:t>ash flows consists of operating profit, net cash, and dividends.</w:t>
      </w:r>
    </w:p>
    <w:p w:rsidR="00930BE1" w:rsidRDefault="00930BE1" w:rsidP="00930BE1">
      <w:pPr>
        <w:bidi w:val="0"/>
      </w:pPr>
    </w:p>
    <w:p w:rsidR="00930BE1" w:rsidRPr="00A3578A" w:rsidRDefault="00930BE1" w:rsidP="00930BE1">
      <w:pPr>
        <w:bidi w:val="0"/>
        <w:spacing w:line="288" w:lineRule="auto"/>
        <w:jc w:val="center"/>
        <w:rPr>
          <w:b/>
          <w:bCs/>
          <w:sz w:val="22"/>
          <w:szCs w:val="22"/>
        </w:rPr>
      </w:pPr>
      <w:r w:rsidRPr="00A3578A">
        <w:rPr>
          <w:b/>
          <w:bCs/>
          <w:sz w:val="22"/>
          <w:szCs w:val="22"/>
        </w:rPr>
        <w:t>Table 17.3 – Statement of cash flows. LBP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1666"/>
        <w:gridCol w:w="1666"/>
        <w:gridCol w:w="1949"/>
      </w:tblGrid>
      <w:tr w:rsidR="00930BE1" w:rsidRPr="0028577C" w:rsidTr="001050C0">
        <w:tc>
          <w:tcPr>
            <w:tcW w:w="4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BE1" w:rsidRPr="0028577C" w:rsidRDefault="00930BE1" w:rsidP="00572BAC">
            <w:pPr>
              <w:bidi w:val="0"/>
              <w:spacing w:line="384" w:lineRule="auto"/>
              <w:rPr>
                <w:b/>
                <w:bCs/>
                <w:sz w:val="16"/>
                <w:szCs w:val="16"/>
              </w:rPr>
            </w:pPr>
            <w:r w:rsidRPr="0028577C">
              <w:rPr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BE1" w:rsidRPr="0028577C" w:rsidRDefault="00930BE1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28577C">
              <w:rPr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BE1" w:rsidRPr="0028577C" w:rsidRDefault="00A3578A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28577C">
              <w:rPr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BE1" w:rsidRPr="0028577C" w:rsidRDefault="00930BE1" w:rsidP="00A3578A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28577C">
              <w:rPr>
                <w:b/>
                <w:bCs/>
                <w:sz w:val="16"/>
                <w:szCs w:val="16"/>
              </w:rPr>
              <w:t>Change (</w:t>
            </w:r>
            <w:r w:rsidR="00A3578A" w:rsidRPr="0028577C">
              <w:rPr>
                <w:b/>
                <w:bCs/>
                <w:sz w:val="16"/>
                <w:szCs w:val="16"/>
              </w:rPr>
              <w:t>2010</w:t>
            </w:r>
            <w:r w:rsidRPr="0028577C">
              <w:rPr>
                <w:b/>
                <w:bCs/>
                <w:sz w:val="16"/>
                <w:szCs w:val="16"/>
              </w:rPr>
              <w:t xml:space="preserve">/2001). </w:t>
            </w:r>
            <w:r w:rsidR="00572BAC" w:rsidRPr="0028577C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A3578A" w:rsidRPr="0028577C" w:rsidTr="0028577C">
        <w:tc>
          <w:tcPr>
            <w:tcW w:w="457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3578A" w:rsidRPr="0028577C" w:rsidRDefault="00A3578A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Operating profit before working capital changes</w:t>
            </w:r>
          </w:p>
        </w:tc>
        <w:tc>
          <w:tcPr>
            <w:tcW w:w="16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3578A" w:rsidRPr="0028577C" w:rsidRDefault="00A3578A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 xml:space="preserve">  441,564,421 </w:t>
            </w:r>
          </w:p>
        </w:tc>
        <w:tc>
          <w:tcPr>
            <w:tcW w:w="16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3578A" w:rsidRPr="0028577C" w:rsidRDefault="00A3578A" w:rsidP="0028577C">
            <w:pPr>
              <w:bidi w:val="0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 xml:space="preserve">   5,321,892,271 </w:t>
            </w:r>
          </w:p>
        </w:tc>
        <w:tc>
          <w:tcPr>
            <w:tcW w:w="194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3578A" w:rsidRPr="0028577C" w:rsidRDefault="00A3578A">
            <w:pPr>
              <w:bidi w:val="0"/>
              <w:jc w:val="right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>1,105</w:t>
            </w:r>
          </w:p>
        </w:tc>
      </w:tr>
      <w:tr w:rsidR="00A3578A" w:rsidRPr="0028577C" w:rsidTr="0028577C"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578A" w:rsidRPr="0028577C" w:rsidRDefault="00A3578A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Net cash from operations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578A" w:rsidRPr="0028577C" w:rsidRDefault="00A3578A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 xml:space="preserve">410,216,181 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578A" w:rsidRPr="0028577C" w:rsidRDefault="00A3578A" w:rsidP="0028577C">
            <w:pPr>
              <w:bidi w:val="0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 xml:space="preserve">5,323,271,702 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578A" w:rsidRPr="0028577C" w:rsidRDefault="00A3578A" w:rsidP="00A3578A">
            <w:pPr>
              <w:bidi w:val="0"/>
              <w:jc w:val="right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>1,198</w:t>
            </w:r>
          </w:p>
        </w:tc>
      </w:tr>
      <w:tr w:rsidR="00A3578A" w:rsidRPr="0028577C" w:rsidTr="0028577C"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578A" w:rsidRPr="0028577C" w:rsidRDefault="00A3578A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Net cash from operating activities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578A" w:rsidRPr="0028577C" w:rsidRDefault="00A3578A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 xml:space="preserve">  409,528,495 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578A" w:rsidRPr="0028577C" w:rsidRDefault="00A3578A" w:rsidP="0028577C">
            <w:pPr>
              <w:bidi w:val="0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 xml:space="preserve">  4,616,558,702 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578A" w:rsidRPr="0028577C" w:rsidRDefault="00A3578A" w:rsidP="0028577C">
            <w:pPr>
              <w:bidi w:val="0"/>
              <w:jc w:val="right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>1</w:t>
            </w:r>
            <w:r w:rsidR="0028577C" w:rsidRPr="0028577C">
              <w:rPr>
                <w:sz w:val="16"/>
                <w:szCs w:val="16"/>
              </w:rPr>
              <w:t>,</w:t>
            </w:r>
            <w:r w:rsidRPr="0028577C">
              <w:rPr>
                <w:sz w:val="16"/>
                <w:szCs w:val="16"/>
              </w:rPr>
              <w:t>027</w:t>
            </w:r>
          </w:p>
        </w:tc>
      </w:tr>
      <w:tr w:rsidR="0028577C" w:rsidRPr="0028577C" w:rsidTr="0028577C"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7C" w:rsidRPr="0028577C" w:rsidRDefault="0028577C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Net cash used in investing activities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7C" w:rsidRPr="0028577C" w:rsidRDefault="0028577C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(61,881,239)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7C" w:rsidRPr="0028577C" w:rsidRDefault="0028577C" w:rsidP="0028577C">
            <w:pPr>
              <w:bidi w:val="0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(546,355,689)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7C" w:rsidRPr="0028577C" w:rsidRDefault="0028577C" w:rsidP="0028577C">
            <w:pPr>
              <w:bidi w:val="0"/>
              <w:jc w:val="right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>783</w:t>
            </w:r>
          </w:p>
        </w:tc>
      </w:tr>
      <w:tr w:rsidR="00930BE1" w:rsidRPr="0028577C" w:rsidTr="0028577C"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BE1" w:rsidRPr="0028577C" w:rsidRDefault="00930BE1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Dividends paid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BE1" w:rsidRPr="0028577C" w:rsidRDefault="00930BE1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 xml:space="preserve">0 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BE1" w:rsidRPr="0028577C" w:rsidRDefault="0028577C" w:rsidP="0028577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(500,697,399)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0BE1" w:rsidRPr="0028577C" w:rsidRDefault="00930BE1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28577C" w:rsidRPr="0028577C" w:rsidTr="0028577C"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7C" w:rsidRPr="0028577C" w:rsidRDefault="0028577C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>Increase/Decrease in cash and cash equivalents at the beginning of the year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7C" w:rsidRPr="0028577C" w:rsidRDefault="0028577C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 xml:space="preserve">      347,647,256 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7C" w:rsidRPr="0028577C" w:rsidRDefault="0028577C" w:rsidP="0028577C">
            <w:pPr>
              <w:bidi w:val="0"/>
              <w:jc w:val="right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 xml:space="preserve">   3,569,505,613 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7C" w:rsidRPr="0028577C" w:rsidRDefault="0028577C" w:rsidP="0028577C">
            <w:pPr>
              <w:bidi w:val="0"/>
              <w:jc w:val="right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>927</w:t>
            </w:r>
          </w:p>
        </w:tc>
      </w:tr>
      <w:tr w:rsidR="0028577C" w:rsidRPr="0028577C" w:rsidTr="0028577C">
        <w:tc>
          <w:tcPr>
            <w:tcW w:w="457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8577C" w:rsidRPr="0028577C" w:rsidRDefault="0028577C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>Cash and cash equivalents at the end of the year</w:t>
            </w:r>
          </w:p>
        </w:tc>
        <w:tc>
          <w:tcPr>
            <w:tcW w:w="16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8577C" w:rsidRPr="0028577C" w:rsidRDefault="0028577C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 xml:space="preserve">2,492,292,195 </w:t>
            </w:r>
          </w:p>
        </w:tc>
        <w:tc>
          <w:tcPr>
            <w:tcW w:w="16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8577C" w:rsidRPr="0028577C" w:rsidRDefault="0028577C" w:rsidP="0028577C">
            <w:pPr>
              <w:bidi w:val="0"/>
              <w:jc w:val="right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 xml:space="preserve">15,152,223,573 </w:t>
            </w:r>
          </w:p>
        </w:tc>
        <w:tc>
          <w:tcPr>
            <w:tcW w:w="194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8577C" w:rsidRPr="0028577C" w:rsidRDefault="0028577C" w:rsidP="0028577C">
            <w:pPr>
              <w:bidi w:val="0"/>
              <w:jc w:val="right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>508</w:t>
            </w:r>
          </w:p>
        </w:tc>
      </w:tr>
    </w:tbl>
    <w:p w:rsidR="00930BE1" w:rsidRPr="00FF61F1" w:rsidRDefault="00930BE1" w:rsidP="0028577C">
      <w:pPr>
        <w:bidi w:val="0"/>
        <w:jc w:val="center"/>
        <w:rPr>
          <w:i/>
          <w:iCs/>
        </w:rPr>
      </w:pPr>
      <w:r w:rsidRPr="00FF61F1">
        <w:rPr>
          <w:i/>
          <w:iCs/>
          <w:sz w:val="18"/>
          <w:szCs w:val="18"/>
        </w:rPr>
        <w:t xml:space="preserve">Table made by CAS based on </w:t>
      </w:r>
      <w:r>
        <w:rPr>
          <w:i/>
          <w:iCs/>
          <w:sz w:val="18"/>
          <w:szCs w:val="18"/>
        </w:rPr>
        <w:t>MIDCLEAR</w:t>
      </w:r>
      <w:r w:rsidRPr="00FF61F1">
        <w:rPr>
          <w:i/>
          <w:iCs/>
          <w:sz w:val="18"/>
          <w:szCs w:val="18"/>
        </w:rPr>
        <w:t xml:space="preserve"> data (</w:t>
      </w:r>
      <w:r w:rsidR="0028577C">
        <w:rPr>
          <w:i/>
          <w:iCs/>
          <w:sz w:val="18"/>
          <w:szCs w:val="18"/>
        </w:rPr>
        <w:t>2010</w:t>
      </w:r>
      <w:r w:rsidRPr="00FF61F1">
        <w:rPr>
          <w:i/>
          <w:iCs/>
          <w:sz w:val="18"/>
          <w:szCs w:val="18"/>
        </w:rPr>
        <w:t>)</w:t>
      </w:r>
    </w:p>
    <w:p w:rsidR="00631C8F" w:rsidRDefault="00631C8F" w:rsidP="00631C8F">
      <w:pPr>
        <w:bidi w:val="0"/>
      </w:pPr>
    </w:p>
    <w:p w:rsidR="00631C8F" w:rsidRDefault="00631C8F" w:rsidP="00631C8F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BE77E6" w:rsidRPr="00FF61F1" w:rsidRDefault="00BE77E6" w:rsidP="00BE77E6">
      <w:pPr>
        <w:bidi w:val="0"/>
        <w:jc w:val="center"/>
        <w:rPr>
          <w:b/>
          <w:bCs/>
          <w:noProof/>
          <w:sz w:val="26"/>
          <w:szCs w:val="26"/>
        </w:rPr>
      </w:pPr>
      <w:r w:rsidRPr="00FF61F1">
        <w:rPr>
          <w:b/>
          <w:bCs/>
          <w:noProof/>
          <w:sz w:val="26"/>
          <w:szCs w:val="26"/>
        </w:rPr>
        <w:lastRenderedPageBreak/>
        <w:t>Money exchange by Mohafazat</w:t>
      </w:r>
    </w:p>
    <w:p w:rsidR="00D75533" w:rsidRDefault="00D75533" w:rsidP="00D75533">
      <w:pPr>
        <w:bidi w:val="0"/>
        <w:jc w:val="lowKashida"/>
        <w:rPr>
          <w:sz w:val="22"/>
          <w:szCs w:val="22"/>
        </w:rPr>
      </w:pPr>
    </w:p>
    <w:p w:rsidR="00D75533" w:rsidRDefault="00D75533" w:rsidP="00D75533">
      <w:pPr>
        <w:bidi w:val="0"/>
        <w:jc w:val="lowKashida"/>
        <w:rPr>
          <w:sz w:val="22"/>
          <w:szCs w:val="22"/>
        </w:rPr>
      </w:pPr>
    </w:p>
    <w:p w:rsidR="00F04002" w:rsidRPr="00F04002" w:rsidRDefault="00D75533" w:rsidP="00D75533">
      <w:pPr>
        <w:bidi w:val="0"/>
        <w:jc w:val="lowKashida"/>
        <w:rPr>
          <w:sz w:val="22"/>
          <w:szCs w:val="22"/>
        </w:rPr>
      </w:pPr>
      <w:r>
        <w:rPr>
          <w:sz w:val="22"/>
          <w:szCs w:val="22"/>
        </w:rPr>
        <w:t>L</w:t>
      </w:r>
      <w:r w:rsidR="00F04002" w:rsidRPr="00F04002">
        <w:rPr>
          <w:sz w:val="22"/>
          <w:szCs w:val="22"/>
        </w:rPr>
        <w:t xml:space="preserve">aw 347/87 divided the money exchange establishments into two categories: </w:t>
      </w:r>
    </w:p>
    <w:p w:rsidR="00F04002" w:rsidRPr="00F04002" w:rsidRDefault="00F04002" w:rsidP="00906660">
      <w:pPr>
        <w:pStyle w:val="ListParagraph"/>
        <w:numPr>
          <w:ilvl w:val="0"/>
          <w:numId w:val="5"/>
        </w:numPr>
        <w:jc w:val="lowKashida"/>
        <w:rPr>
          <w:rFonts w:ascii="Times New Roman" w:hAnsi="Times New Roman" w:cs="Times New Roman"/>
        </w:rPr>
      </w:pPr>
      <w:r w:rsidRPr="00F04002">
        <w:rPr>
          <w:rFonts w:ascii="Times New Roman" w:hAnsi="Times New Roman" w:cs="Times New Roman"/>
        </w:rPr>
        <w:t xml:space="preserve">Category A: buying and selling foreign currencies in exchange of any other foreign currency or the LBP even if it was a bank note or a coin; buying and selling metallic ingots, conversions, cheques and </w:t>
      </w:r>
      <w:r w:rsidRPr="00F04002">
        <w:rPr>
          <w:rFonts w:ascii="Times New Roman" w:hAnsi="Times New Roman" w:cs="Times New Roman"/>
          <w:color w:val="000000"/>
        </w:rPr>
        <w:t>Travellers Cheques</w:t>
      </w:r>
      <w:r w:rsidRPr="00F04002">
        <w:rPr>
          <w:rFonts w:ascii="Times New Roman" w:hAnsi="Times New Roman" w:cs="Times New Roman"/>
        </w:rPr>
        <w:t>. The capital is equal to 250,000,000 LBP.</w:t>
      </w:r>
    </w:p>
    <w:p w:rsidR="00F04002" w:rsidRPr="00F04002" w:rsidRDefault="00F04002" w:rsidP="00906660">
      <w:pPr>
        <w:pStyle w:val="ListParagraph"/>
        <w:numPr>
          <w:ilvl w:val="0"/>
          <w:numId w:val="5"/>
        </w:numPr>
        <w:jc w:val="lowKashida"/>
        <w:rPr>
          <w:rFonts w:ascii="Times New Roman" w:hAnsi="Times New Roman" w:cs="Times New Roman"/>
        </w:rPr>
      </w:pPr>
      <w:r w:rsidRPr="00F04002">
        <w:rPr>
          <w:rFonts w:ascii="Times New Roman" w:hAnsi="Times New Roman" w:cs="Times New Roman"/>
        </w:rPr>
        <w:t xml:space="preserve">Category: buying and selling foreign currencies in exchange of any other foreign currency or the LBP even if it was a bank note or a coin; buying and selling metallic ingots, golden ingots below 1,000 conversions, cheques and </w:t>
      </w:r>
      <w:r w:rsidRPr="00F04002">
        <w:rPr>
          <w:rFonts w:ascii="Times New Roman" w:hAnsi="Times New Roman" w:cs="Times New Roman"/>
          <w:color w:val="000000"/>
        </w:rPr>
        <w:t xml:space="preserve">Travellers Cheques </w:t>
      </w:r>
      <w:r w:rsidRPr="00F04002">
        <w:rPr>
          <w:rFonts w:ascii="Times New Roman" w:hAnsi="Times New Roman" w:cs="Times New Roman"/>
        </w:rPr>
        <w:t>within a cap defined by the Central Bank of Lebanon. The capital is equal to 100,000,000 LBP.</w:t>
      </w:r>
    </w:p>
    <w:p w:rsidR="00D75533" w:rsidRDefault="00D75533" w:rsidP="00F04002">
      <w:pPr>
        <w:bidi w:val="0"/>
        <w:jc w:val="lowKashida"/>
        <w:rPr>
          <w:sz w:val="22"/>
          <w:szCs w:val="22"/>
        </w:rPr>
      </w:pPr>
    </w:p>
    <w:p w:rsidR="00D75533" w:rsidRDefault="00D75533" w:rsidP="00F04002">
      <w:pPr>
        <w:bidi w:val="0"/>
        <w:jc w:val="lowKashida"/>
        <w:rPr>
          <w:sz w:val="22"/>
          <w:szCs w:val="22"/>
        </w:rPr>
      </w:pPr>
    </w:p>
    <w:p w:rsidR="00D75533" w:rsidRDefault="00D75533" w:rsidP="00F04002">
      <w:pPr>
        <w:bidi w:val="0"/>
        <w:jc w:val="lowKashida"/>
        <w:rPr>
          <w:sz w:val="22"/>
          <w:szCs w:val="22"/>
        </w:rPr>
      </w:pPr>
    </w:p>
    <w:p w:rsidR="0057442B" w:rsidRPr="00F04002" w:rsidRDefault="0057442B" w:rsidP="00577634">
      <w:pPr>
        <w:bidi w:val="0"/>
        <w:jc w:val="lowKashida"/>
        <w:rPr>
          <w:sz w:val="22"/>
          <w:szCs w:val="22"/>
        </w:rPr>
      </w:pPr>
      <w:r w:rsidRPr="00F04002">
        <w:rPr>
          <w:sz w:val="22"/>
          <w:szCs w:val="22"/>
        </w:rPr>
        <w:t xml:space="preserve">Money exchange establishments number in </w:t>
      </w:r>
      <w:r w:rsidR="00577634">
        <w:rPr>
          <w:sz w:val="22"/>
          <w:szCs w:val="22"/>
        </w:rPr>
        <w:t>2010</w:t>
      </w:r>
      <w:r w:rsidRPr="00F04002">
        <w:rPr>
          <w:sz w:val="22"/>
          <w:szCs w:val="22"/>
        </w:rPr>
        <w:t xml:space="preserve">: </w:t>
      </w:r>
      <w:r w:rsidR="00577634">
        <w:rPr>
          <w:sz w:val="22"/>
          <w:szCs w:val="22"/>
        </w:rPr>
        <w:t>397</w:t>
      </w:r>
      <w:r w:rsidR="00F04002" w:rsidRPr="00F04002">
        <w:rPr>
          <w:sz w:val="22"/>
          <w:szCs w:val="22"/>
        </w:rPr>
        <w:t xml:space="preserve"> establishments.</w:t>
      </w:r>
    </w:p>
    <w:p w:rsidR="00F04002" w:rsidRPr="00F04002" w:rsidRDefault="00F04002" w:rsidP="00577634">
      <w:pPr>
        <w:pStyle w:val="ListParagraph"/>
        <w:numPr>
          <w:ilvl w:val="0"/>
          <w:numId w:val="4"/>
        </w:numPr>
        <w:jc w:val="lowKashida"/>
        <w:rPr>
          <w:rFonts w:ascii="Times New Roman" w:hAnsi="Times New Roman" w:cs="Times New Roman"/>
        </w:rPr>
      </w:pPr>
      <w:r w:rsidRPr="00F04002">
        <w:rPr>
          <w:rFonts w:ascii="Times New Roman" w:hAnsi="Times New Roman" w:cs="Times New Roman"/>
        </w:rPr>
        <w:t>Peak Mohafazat: Mount-Lebanon (29.</w:t>
      </w:r>
      <w:r w:rsidR="00577634">
        <w:rPr>
          <w:rFonts w:ascii="Times New Roman" w:hAnsi="Times New Roman" w:cs="Times New Roman"/>
        </w:rPr>
        <w:t>2</w:t>
      </w:r>
      <w:r w:rsidRPr="00F04002">
        <w:rPr>
          <w:rFonts w:ascii="Times New Roman" w:hAnsi="Times New Roman" w:cs="Times New Roman"/>
        </w:rPr>
        <w:t>%).</w:t>
      </w:r>
    </w:p>
    <w:p w:rsidR="00F04002" w:rsidRPr="00F04002" w:rsidRDefault="00F04002" w:rsidP="00577634">
      <w:pPr>
        <w:pStyle w:val="ListParagraph"/>
        <w:numPr>
          <w:ilvl w:val="0"/>
          <w:numId w:val="4"/>
        </w:numPr>
        <w:jc w:val="lowKashida"/>
        <w:rPr>
          <w:rFonts w:ascii="Times New Roman" w:hAnsi="Times New Roman" w:cs="Times New Roman"/>
        </w:rPr>
      </w:pPr>
      <w:r w:rsidRPr="00F04002">
        <w:rPr>
          <w:rFonts w:ascii="Times New Roman" w:hAnsi="Times New Roman" w:cs="Times New Roman"/>
        </w:rPr>
        <w:t xml:space="preserve">Category A: </w:t>
      </w:r>
      <w:r w:rsidR="00577634">
        <w:rPr>
          <w:rFonts w:ascii="Times New Roman" w:hAnsi="Times New Roman" w:cs="Times New Roman"/>
        </w:rPr>
        <w:t>12.8</w:t>
      </w:r>
      <w:r w:rsidRPr="00F04002">
        <w:rPr>
          <w:rFonts w:ascii="Times New Roman" w:hAnsi="Times New Roman" w:cs="Times New Roman"/>
        </w:rPr>
        <w:t>% of establishments.</w:t>
      </w:r>
    </w:p>
    <w:p w:rsidR="00F04002" w:rsidRPr="00F04002" w:rsidRDefault="00F04002" w:rsidP="00577634">
      <w:pPr>
        <w:pStyle w:val="ListParagraph"/>
        <w:numPr>
          <w:ilvl w:val="0"/>
          <w:numId w:val="4"/>
        </w:numPr>
        <w:jc w:val="lowKashida"/>
        <w:rPr>
          <w:rFonts w:ascii="Times New Roman" w:hAnsi="Times New Roman" w:cs="Times New Roman"/>
        </w:rPr>
      </w:pPr>
      <w:r w:rsidRPr="00F04002">
        <w:rPr>
          <w:rFonts w:ascii="Times New Roman" w:hAnsi="Times New Roman" w:cs="Times New Roman"/>
        </w:rPr>
        <w:t>Category B: 87.</w:t>
      </w:r>
      <w:r w:rsidR="00577634">
        <w:rPr>
          <w:rFonts w:ascii="Times New Roman" w:hAnsi="Times New Roman" w:cs="Times New Roman"/>
        </w:rPr>
        <w:t>2</w:t>
      </w:r>
      <w:r w:rsidRPr="00F04002">
        <w:rPr>
          <w:rFonts w:ascii="Times New Roman" w:hAnsi="Times New Roman" w:cs="Times New Roman"/>
        </w:rPr>
        <w:t>% of establishments.</w:t>
      </w:r>
    </w:p>
    <w:p w:rsidR="00F04002" w:rsidRDefault="00F04002">
      <w:pPr>
        <w:bidi w:val="0"/>
        <w:jc w:val="lowKashida"/>
        <w:rPr>
          <w:rFonts w:asciiTheme="majorBidi" w:hAnsiTheme="majorBidi" w:cstheme="majorBidi"/>
        </w:rPr>
      </w:pPr>
    </w:p>
    <w:p w:rsidR="00D75533" w:rsidRPr="00F04002" w:rsidRDefault="00D75533" w:rsidP="00D75533">
      <w:pPr>
        <w:bidi w:val="0"/>
        <w:jc w:val="lowKashida"/>
        <w:rPr>
          <w:rFonts w:asciiTheme="majorBidi" w:hAnsiTheme="majorBidi" w:cstheme="majorBidi"/>
        </w:rPr>
      </w:pPr>
    </w:p>
    <w:sectPr w:rsidR="00D75533" w:rsidRPr="00F04002" w:rsidSect="006055B4">
      <w:footerReference w:type="even" r:id="rId11"/>
      <w:footerReference w:type="default" r:id="rId12"/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68" w:rsidRDefault="00F67068">
      <w:r>
        <w:separator/>
      </w:r>
    </w:p>
  </w:endnote>
  <w:endnote w:type="continuationSeparator" w:id="1">
    <w:p w:rsidR="00F67068" w:rsidRDefault="00F6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C0" w:rsidRDefault="00AD1514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050C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050C0" w:rsidRDefault="001050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12782"/>
      <w:docPartObj>
        <w:docPartGallery w:val="Page Numbers (Bottom of Page)"/>
        <w:docPartUnique/>
      </w:docPartObj>
    </w:sdtPr>
    <w:sdtContent>
      <w:p w:rsidR="001050C0" w:rsidRDefault="00AD1514">
        <w:pPr>
          <w:pStyle w:val="Footer"/>
          <w:jc w:val="center"/>
        </w:pPr>
        <w:fldSimple w:instr=" PAGE   \* MERGEFORMAT ">
          <w:r w:rsidR="00577634">
            <w:rPr>
              <w:noProof/>
              <w:rtl/>
            </w:rPr>
            <w:t>3</w:t>
          </w:r>
        </w:fldSimple>
      </w:p>
    </w:sdtContent>
  </w:sdt>
  <w:p w:rsidR="001050C0" w:rsidRDefault="001050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68" w:rsidRDefault="00F67068">
      <w:r>
        <w:separator/>
      </w:r>
    </w:p>
  </w:footnote>
  <w:footnote w:type="continuationSeparator" w:id="1">
    <w:p w:rsidR="00F67068" w:rsidRDefault="00F67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6FC"/>
    <w:multiLevelType w:val="hybridMultilevel"/>
    <w:tmpl w:val="5F4C5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73D20"/>
    <w:multiLevelType w:val="hybridMultilevel"/>
    <w:tmpl w:val="669A8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9C3A83"/>
    <w:multiLevelType w:val="hybridMultilevel"/>
    <w:tmpl w:val="05DC2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172274"/>
    <w:multiLevelType w:val="hybridMultilevel"/>
    <w:tmpl w:val="FAF4E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0C73D8"/>
    <w:multiLevelType w:val="hybridMultilevel"/>
    <w:tmpl w:val="E42CE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119B"/>
    <w:rsid w:val="00002C56"/>
    <w:rsid w:val="0000317A"/>
    <w:rsid w:val="000038F6"/>
    <w:rsid w:val="00004DC4"/>
    <w:rsid w:val="00006770"/>
    <w:rsid w:val="00010AC5"/>
    <w:rsid w:val="00010BC9"/>
    <w:rsid w:val="000145C7"/>
    <w:rsid w:val="00014679"/>
    <w:rsid w:val="0001487C"/>
    <w:rsid w:val="000149F6"/>
    <w:rsid w:val="00014E13"/>
    <w:rsid w:val="00015123"/>
    <w:rsid w:val="000161A4"/>
    <w:rsid w:val="000168FC"/>
    <w:rsid w:val="00016A4A"/>
    <w:rsid w:val="00022064"/>
    <w:rsid w:val="0002422D"/>
    <w:rsid w:val="00024688"/>
    <w:rsid w:val="00025494"/>
    <w:rsid w:val="0002561C"/>
    <w:rsid w:val="00025EC4"/>
    <w:rsid w:val="00030196"/>
    <w:rsid w:val="00030DDC"/>
    <w:rsid w:val="00032C18"/>
    <w:rsid w:val="00032D5E"/>
    <w:rsid w:val="0003315D"/>
    <w:rsid w:val="0003431B"/>
    <w:rsid w:val="00034AF1"/>
    <w:rsid w:val="00037907"/>
    <w:rsid w:val="00040416"/>
    <w:rsid w:val="0004133C"/>
    <w:rsid w:val="00042225"/>
    <w:rsid w:val="00042F14"/>
    <w:rsid w:val="00043E9D"/>
    <w:rsid w:val="0004425D"/>
    <w:rsid w:val="00045B90"/>
    <w:rsid w:val="0004662F"/>
    <w:rsid w:val="000469F5"/>
    <w:rsid w:val="000475F8"/>
    <w:rsid w:val="00047CEA"/>
    <w:rsid w:val="00051580"/>
    <w:rsid w:val="00051884"/>
    <w:rsid w:val="00051EBD"/>
    <w:rsid w:val="00053214"/>
    <w:rsid w:val="000535D4"/>
    <w:rsid w:val="00057F77"/>
    <w:rsid w:val="00062569"/>
    <w:rsid w:val="00063379"/>
    <w:rsid w:val="0006429B"/>
    <w:rsid w:val="0006507C"/>
    <w:rsid w:val="00065198"/>
    <w:rsid w:val="00066181"/>
    <w:rsid w:val="00070FE0"/>
    <w:rsid w:val="000734B1"/>
    <w:rsid w:val="00074983"/>
    <w:rsid w:val="000750D2"/>
    <w:rsid w:val="00077406"/>
    <w:rsid w:val="00080B4A"/>
    <w:rsid w:val="00081A8B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4FF5"/>
    <w:rsid w:val="000A03E1"/>
    <w:rsid w:val="000A0D81"/>
    <w:rsid w:val="000A5C81"/>
    <w:rsid w:val="000A784D"/>
    <w:rsid w:val="000B021C"/>
    <w:rsid w:val="000B5260"/>
    <w:rsid w:val="000B58A2"/>
    <w:rsid w:val="000B7CEF"/>
    <w:rsid w:val="000B7EFF"/>
    <w:rsid w:val="000C287C"/>
    <w:rsid w:val="000C3021"/>
    <w:rsid w:val="000C3651"/>
    <w:rsid w:val="000C3A5B"/>
    <w:rsid w:val="000C4B6E"/>
    <w:rsid w:val="000C7957"/>
    <w:rsid w:val="000D0B1E"/>
    <w:rsid w:val="000D1F6B"/>
    <w:rsid w:val="000D2505"/>
    <w:rsid w:val="000D6540"/>
    <w:rsid w:val="000D7C4C"/>
    <w:rsid w:val="000E04DB"/>
    <w:rsid w:val="000E3604"/>
    <w:rsid w:val="000E56B4"/>
    <w:rsid w:val="000E5CBC"/>
    <w:rsid w:val="000E6609"/>
    <w:rsid w:val="000E7A5F"/>
    <w:rsid w:val="000F2E3E"/>
    <w:rsid w:val="000F2FAB"/>
    <w:rsid w:val="000F3B15"/>
    <w:rsid w:val="000F3F86"/>
    <w:rsid w:val="000F5DDB"/>
    <w:rsid w:val="000F5E54"/>
    <w:rsid w:val="000F6895"/>
    <w:rsid w:val="000F6A6D"/>
    <w:rsid w:val="000F7AD0"/>
    <w:rsid w:val="0010136D"/>
    <w:rsid w:val="001045A0"/>
    <w:rsid w:val="001050C0"/>
    <w:rsid w:val="00110CB5"/>
    <w:rsid w:val="0011401B"/>
    <w:rsid w:val="001164A8"/>
    <w:rsid w:val="00116CFD"/>
    <w:rsid w:val="00117CED"/>
    <w:rsid w:val="00117FA4"/>
    <w:rsid w:val="001208F8"/>
    <w:rsid w:val="0012136F"/>
    <w:rsid w:val="00123993"/>
    <w:rsid w:val="001255A1"/>
    <w:rsid w:val="00126287"/>
    <w:rsid w:val="001267B6"/>
    <w:rsid w:val="00126DC8"/>
    <w:rsid w:val="00127058"/>
    <w:rsid w:val="00130634"/>
    <w:rsid w:val="00130B5C"/>
    <w:rsid w:val="00131FF8"/>
    <w:rsid w:val="00132623"/>
    <w:rsid w:val="00134A6A"/>
    <w:rsid w:val="00134CDB"/>
    <w:rsid w:val="00135067"/>
    <w:rsid w:val="001352E3"/>
    <w:rsid w:val="001378A3"/>
    <w:rsid w:val="00137F1B"/>
    <w:rsid w:val="001412E7"/>
    <w:rsid w:val="001415E9"/>
    <w:rsid w:val="00144615"/>
    <w:rsid w:val="00145F62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3B5A"/>
    <w:rsid w:val="00166C23"/>
    <w:rsid w:val="0016744F"/>
    <w:rsid w:val="00167580"/>
    <w:rsid w:val="00167811"/>
    <w:rsid w:val="00167B83"/>
    <w:rsid w:val="00171816"/>
    <w:rsid w:val="00172D58"/>
    <w:rsid w:val="00175BDA"/>
    <w:rsid w:val="00177D6A"/>
    <w:rsid w:val="00180EBC"/>
    <w:rsid w:val="00183EE0"/>
    <w:rsid w:val="00184033"/>
    <w:rsid w:val="0018558F"/>
    <w:rsid w:val="00186CBD"/>
    <w:rsid w:val="0019185A"/>
    <w:rsid w:val="00192BA4"/>
    <w:rsid w:val="00193AD8"/>
    <w:rsid w:val="00193AEA"/>
    <w:rsid w:val="001946CA"/>
    <w:rsid w:val="001948D2"/>
    <w:rsid w:val="001960A1"/>
    <w:rsid w:val="0019781C"/>
    <w:rsid w:val="00197922"/>
    <w:rsid w:val="001A08DD"/>
    <w:rsid w:val="001A0CF3"/>
    <w:rsid w:val="001A0D12"/>
    <w:rsid w:val="001A2CB9"/>
    <w:rsid w:val="001A444C"/>
    <w:rsid w:val="001A5489"/>
    <w:rsid w:val="001A6DC7"/>
    <w:rsid w:val="001B3130"/>
    <w:rsid w:val="001B4C96"/>
    <w:rsid w:val="001B4D7B"/>
    <w:rsid w:val="001B53CF"/>
    <w:rsid w:val="001B6D56"/>
    <w:rsid w:val="001B70E2"/>
    <w:rsid w:val="001B70FD"/>
    <w:rsid w:val="001B7255"/>
    <w:rsid w:val="001C1EC1"/>
    <w:rsid w:val="001C2232"/>
    <w:rsid w:val="001C2523"/>
    <w:rsid w:val="001C3438"/>
    <w:rsid w:val="001C3E98"/>
    <w:rsid w:val="001C504F"/>
    <w:rsid w:val="001D0989"/>
    <w:rsid w:val="001D1185"/>
    <w:rsid w:val="001D390F"/>
    <w:rsid w:val="001D423B"/>
    <w:rsid w:val="001D5C10"/>
    <w:rsid w:val="001D68E5"/>
    <w:rsid w:val="001D6D95"/>
    <w:rsid w:val="001D7F9D"/>
    <w:rsid w:val="001E20D4"/>
    <w:rsid w:val="001E2E49"/>
    <w:rsid w:val="001E3381"/>
    <w:rsid w:val="001E450F"/>
    <w:rsid w:val="001E6845"/>
    <w:rsid w:val="001E71C1"/>
    <w:rsid w:val="001E7469"/>
    <w:rsid w:val="001F14D2"/>
    <w:rsid w:val="001F1908"/>
    <w:rsid w:val="001F1DBF"/>
    <w:rsid w:val="001F425A"/>
    <w:rsid w:val="001F7106"/>
    <w:rsid w:val="002026EA"/>
    <w:rsid w:val="00203F06"/>
    <w:rsid w:val="00204BC0"/>
    <w:rsid w:val="00204D14"/>
    <w:rsid w:val="0020599E"/>
    <w:rsid w:val="00207108"/>
    <w:rsid w:val="00207F56"/>
    <w:rsid w:val="0021073C"/>
    <w:rsid w:val="00212C60"/>
    <w:rsid w:val="00212E49"/>
    <w:rsid w:val="00214B1F"/>
    <w:rsid w:val="00222C18"/>
    <w:rsid w:val="00227A74"/>
    <w:rsid w:val="00227CF0"/>
    <w:rsid w:val="00232403"/>
    <w:rsid w:val="0023287E"/>
    <w:rsid w:val="00233970"/>
    <w:rsid w:val="002343FB"/>
    <w:rsid w:val="00242B20"/>
    <w:rsid w:val="002439BF"/>
    <w:rsid w:val="00244669"/>
    <w:rsid w:val="00244D8C"/>
    <w:rsid w:val="0024782F"/>
    <w:rsid w:val="0025129A"/>
    <w:rsid w:val="00251AAD"/>
    <w:rsid w:val="00252418"/>
    <w:rsid w:val="00253550"/>
    <w:rsid w:val="00260A7B"/>
    <w:rsid w:val="00260CC1"/>
    <w:rsid w:val="002628B2"/>
    <w:rsid w:val="0026417E"/>
    <w:rsid w:val="00266008"/>
    <w:rsid w:val="0026641C"/>
    <w:rsid w:val="00266420"/>
    <w:rsid w:val="00266689"/>
    <w:rsid w:val="00267394"/>
    <w:rsid w:val="00270268"/>
    <w:rsid w:val="0027282C"/>
    <w:rsid w:val="0027550B"/>
    <w:rsid w:val="0027651B"/>
    <w:rsid w:val="00276F34"/>
    <w:rsid w:val="00280A5B"/>
    <w:rsid w:val="00280F98"/>
    <w:rsid w:val="0028577C"/>
    <w:rsid w:val="0028723A"/>
    <w:rsid w:val="00287A2D"/>
    <w:rsid w:val="00291808"/>
    <w:rsid w:val="00293049"/>
    <w:rsid w:val="002934B8"/>
    <w:rsid w:val="00293B6D"/>
    <w:rsid w:val="00293D2D"/>
    <w:rsid w:val="002943CF"/>
    <w:rsid w:val="002A0861"/>
    <w:rsid w:val="002A08A6"/>
    <w:rsid w:val="002A147B"/>
    <w:rsid w:val="002A2BAE"/>
    <w:rsid w:val="002A3939"/>
    <w:rsid w:val="002A3DFB"/>
    <w:rsid w:val="002A4A0C"/>
    <w:rsid w:val="002A6EBA"/>
    <w:rsid w:val="002A7639"/>
    <w:rsid w:val="002B469B"/>
    <w:rsid w:val="002B6FB0"/>
    <w:rsid w:val="002B77FA"/>
    <w:rsid w:val="002C0A4D"/>
    <w:rsid w:val="002C2D23"/>
    <w:rsid w:val="002C33FD"/>
    <w:rsid w:val="002C3E48"/>
    <w:rsid w:val="002C3FE1"/>
    <w:rsid w:val="002C4088"/>
    <w:rsid w:val="002C4540"/>
    <w:rsid w:val="002C538F"/>
    <w:rsid w:val="002C5E92"/>
    <w:rsid w:val="002D0619"/>
    <w:rsid w:val="002D07A5"/>
    <w:rsid w:val="002D2BB4"/>
    <w:rsid w:val="002D3FB5"/>
    <w:rsid w:val="002D46FC"/>
    <w:rsid w:val="002D4801"/>
    <w:rsid w:val="002D4DAE"/>
    <w:rsid w:val="002D57DE"/>
    <w:rsid w:val="002D6579"/>
    <w:rsid w:val="002D715E"/>
    <w:rsid w:val="002E10F8"/>
    <w:rsid w:val="002E1470"/>
    <w:rsid w:val="002E4A80"/>
    <w:rsid w:val="002E5570"/>
    <w:rsid w:val="002E6C82"/>
    <w:rsid w:val="002E6E6D"/>
    <w:rsid w:val="002E7CAC"/>
    <w:rsid w:val="002E7D1C"/>
    <w:rsid w:val="002F01B6"/>
    <w:rsid w:val="002F3F48"/>
    <w:rsid w:val="002F42A5"/>
    <w:rsid w:val="002F4A77"/>
    <w:rsid w:val="002F523D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609F"/>
    <w:rsid w:val="00307E80"/>
    <w:rsid w:val="003108B1"/>
    <w:rsid w:val="0031235F"/>
    <w:rsid w:val="00312839"/>
    <w:rsid w:val="0031304E"/>
    <w:rsid w:val="00313E93"/>
    <w:rsid w:val="00320FDF"/>
    <w:rsid w:val="00323606"/>
    <w:rsid w:val="0032387D"/>
    <w:rsid w:val="003248B2"/>
    <w:rsid w:val="003258DD"/>
    <w:rsid w:val="00326019"/>
    <w:rsid w:val="00326253"/>
    <w:rsid w:val="00326B07"/>
    <w:rsid w:val="00326D65"/>
    <w:rsid w:val="00327B1F"/>
    <w:rsid w:val="0033007D"/>
    <w:rsid w:val="00331A2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20BC"/>
    <w:rsid w:val="003531A6"/>
    <w:rsid w:val="00353C35"/>
    <w:rsid w:val="003545AB"/>
    <w:rsid w:val="003566EF"/>
    <w:rsid w:val="0035692F"/>
    <w:rsid w:val="00356B0F"/>
    <w:rsid w:val="003579CD"/>
    <w:rsid w:val="003609C9"/>
    <w:rsid w:val="00360A09"/>
    <w:rsid w:val="00360A57"/>
    <w:rsid w:val="003614BB"/>
    <w:rsid w:val="003620FB"/>
    <w:rsid w:val="00364803"/>
    <w:rsid w:val="00364A48"/>
    <w:rsid w:val="00364CB6"/>
    <w:rsid w:val="0036798D"/>
    <w:rsid w:val="00367DB1"/>
    <w:rsid w:val="003711C1"/>
    <w:rsid w:val="003716F2"/>
    <w:rsid w:val="00372D9C"/>
    <w:rsid w:val="00374B37"/>
    <w:rsid w:val="003752CF"/>
    <w:rsid w:val="003754C4"/>
    <w:rsid w:val="00377E8F"/>
    <w:rsid w:val="0038097C"/>
    <w:rsid w:val="00380B8B"/>
    <w:rsid w:val="00380C22"/>
    <w:rsid w:val="00380CC4"/>
    <w:rsid w:val="003838D1"/>
    <w:rsid w:val="00385735"/>
    <w:rsid w:val="003866C8"/>
    <w:rsid w:val="003915FE"/>
    <w:rsid w:val="00391EAC"/>
    <w:rsid w:val="00392726"/>
    <w:rsid w:val="003931AF"/>
    <w:rsid w:val="00393601"/>
    <w:rsid w:val="0039389B"/>
    <w:rsid w:val="00394765"/>
    <w:rsid w:val="00395B63"/>
    <w:rsid w:val="003A03D4"/>
    <w:rsid w:val="003A09F5"/>
    <w:rsid w:val="003A16B9"/>
    <w:rsid w:val="003A416C"/>
    <w:rsid w:val="003A4A53"/>
    <w:rsid w:val="003A4EDE"/>
    <w:rsid w:val="003A53A1"/>
    <w:rsid w:val="003A5586"/>
    <w:rsid w:val="003A6986"/>
    <w:rsid w:val="003A756D"/>
    <w:rsid w:val="003A7742"/>
    <w:rsid w:val="003B0D01"/>
    <w:rsid w:val="003B1457"/>
    <w:rsid w:val="003B1966"/>
    <w:rsid w:val="003B202A"/>
    <w:rsid w:val="003B3C30"/>
    <w:rsid w:val="003B3D36"/>
    <w:rsid w:val="003B6E7F"/>
    <w:rsid w:val="003B7C83"/>
    <w:rsid w:val="003B7F07"/>
    <w:rsid w:val="003C016E"/>
    <w:rsid w:val="003C10EF"/>
    <w:rsid w:val="003C663C"/>
    <w:rsid w:val="003C6857"/>
    <w:rsid w:val="003D1A8D"/>
    <w:rsid w:val="003D20D6"/>
    <w:rsid w:val="003D241C"/>
    <w:rsid w:val="003D4924"/>
    <w:rsid w:val="003D4EC8"/>
    <w:rsid w:val="003D54E6"/>
    <w:rsid w:val="003D65AF"/>
    <w:rsid w:val="003D751D"/>
    <w:rsid w:val="003D7719"/>
    <w:rsid w:val="003E0DA2"/>
    <w:rsid w:val="003E1219"/>
    <w:rsid w:val="003E1C98"/>
    <w:rsid w:val="003E29C6"/>
    <w:rsid w:val="003E359D"/>
    <w:rsid w:val="003E43E2"/>
    <w:rsid w:val="003E523C"/>
    <w:rsid w:val="003E5548"/>
    <w:rsid w:val="003E6A5A"/>
    <w:rsid w:val="003E715A"/>
    <w:rsid w:val="003E756E"/>
    <w:rsid w:val="003F06A8"/>
    <w:rsid w:val="003F2BDB"/>
    <w:rsid w:val="003F377A"/>
    <w:rsid w:val="003F4E3F"/>
    <w:rsid w:val="003F6179"/>
    <w:rsid w:val="003F6496"/>
    <w:rsid w:val="003F73FB"/>
    <w:rsid w:val="004009BF"/>
    <w:rsid w:val="0040173E"/>
    <w:rsid w:val="00401D21"/>
    <w:rsid w:val="0040206E"/>
    <w:rsid w:val="00402A5F"/>
    <w:rsid w:val="004047B8"/>
    <w:rsid w:val="0040495E"/>
    <w:rsid w:val="004049DF"/>
    <w:rsid w:val="00405228"/>
    <w:rsid w:val="0041008E"/>
    <w:rsid w:val="00411BCE"/>
    <w:rsid w:val="004124F2"/>
    <w:rsid w:val="00412764"/>
    <w:rsid w:val="00412CDE"/>
    <w:rsid w:val="00413760"/>
    <w:rsid w:val="00414014"/>
    <w:rsid w:val="0041537B"/>
    <w:rsid w:val="00415C87"/>
    <w:rsid w:val="00416075"/>
    <w:rsid w:val="00417F6F"/>
    <w:rsid w:val="00424E72"/>
    <w:rsid w:val="004250B3"/>
    <w:rsid w:val="00426814"/>
    <w:rsid w:val="004269E1"/>
    <w:rsid w:val="00426EB3"/>
    <w:rsid w:val="00430EFA"/>
    <w:rsid w:val="00431076"/>
    <w:rsid w:val="0043768F"/>
    <w:rsid w:val="00440CF2"/>
    <w:rsid w:val="00441890"/>
    <w:rsid w:val="00441A72"/>
    <w:rsid w:val="0044284B"/>
    <w:rsid w:val="00442B8E"/>
    <w:rsid w:val="00442C38"/>
    <w:rsid w:val="00443D30"/>
    <w:rsid w:val="00443E32"/>
    <w:rsid w:val="004448C6"/>
    <w:rsid w:val="00445079"/>
    <w:rsid w:val="004455F9"/>
    <w:rsid w:val="00447BAA"/>
    <w:rsid w:val="00452050"/>
    <w:rsid w:val="00455354"/>
    <w:rsid w:val="00457278"/>
    <w:rsid w:val="0046028B"/>
    <w:rsid w:val="00461A87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EE"/>
    <w:rsid w:val="004737E4"/>
    <w:rsid w:val="004739AD"/>
    <w:rsid w:val="0047403F"/>
    <w:rsid w:val="0047429D"/>
    <w:rsid w:val="0047432D"/>
    <w:rsid w:val="00474E6E"/>
    <w:rsid w:val="00476CF4"/>
    <w:rsid w:val="004779EA"/>
    <w:rsid w:val="00477B14"/>
    <w:rsid w:val="004818BF"/>
    <w:rsid w:val="0048312D"/>
    <w:rsid w:val="004839E5"/>
    <w:rsid w:val="00484145"/>
    <w:rsid w:val="00485DA5"/>
    <w:rsid w:val="0048607B"/>
    <w:rsid w:val="00487F10"/>
    <w:rsid w:val="00490B25"/>
    <w:rsid w:val="00491511"/>
    <w:rsid w:val="0049529D"/>
    <w:rsid w:val="0049599C"/>
    <w:rsid w:val="004A2368"/>
    <w:rsid w:val="004A23F9"/>
    <w:rsid w:val="004A3637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4B24"/>
    <w:rsid w:val="004B4D95"/>
    <w:rsid w:val="004B616B"/>
    <w:rsid w:val="004B659C"/>
    <w:rsid w:val="004B69E8"/>
    <w:rsid w:val="004C04A7"/>
    <w:rsid w:val="004C070B"/>
    <w:rsid w:val="004C48F8"/>
    <w:rsid w:val="004C540A"/>
    <w:rsid w:val="004C6B27"/>
    <w:rsid w:val="004C7346"/>
    <w:rsid w:val="004D05FD"/>
    <w:rsid w:val="004D09D0"/>
    <w:rsid w:val="004D0E6C"/>
    <w:rsid w:val="004D28AA"/>
    <w:rsid w:val="004D3077"/>
    <w:rsid w:val="004D3507"/>
    <w:rsid w:val="004D3E95"/>
    <w:rsid w:val="004D3F27"/>
    <w:rsid w:val="004D6110"/>
    <w:rsid w:val="004D72A2"/>
    <w:rsid w:val="004D73E8"/>
    <w:rsid w:val="004D7421"/>
    <w:rsid w:val="004D7E44"/>
    <w:rsid w:val="004E036C"/>
    <w:rsid w:val="004E1928"/>
    <w:rsid w:val="004E248C"/>
    <w:rsid w:val="004E369C"/>
    <w:rsid w:val="004F3311"/>
    <w:rsid w:val="004F35AE"/>
    <w:rsid w:val="004F3626"/>
    <w:rsid w:val="004F3AAB"/>
    <w:rsid w:val="004F592A"/>
    <w:rsid w:val="004F7179"/>
    <w:rsid w:val="00501286"/>
    <w:rsid w:val="005039C9"/>
    <w:rsid w:val="00504E6C"/>
    <w:rsid w:val="0050627E"/>
    <w:rsid w:val="0050734E"/>
    <w:rsid w:val="00510111"/>
    <w:rsid w:val="005129ED"/>
    <w:rsid w:val="00512CF3"/>
    <w:rsid w:val="00513669"/>
    <w:rsid w:val="00513BCA"/>
    <w:rsid w:val="00515F2B"/>
    <w:rsid w:val="0051679E"/>
    <w:rsid w:val="005170DF"/>
    <w:rsid w:val="00517763"/>
    <w:rsid w:val="00517FF0"/>
    <w:rsid w:val="00522196"/>
    <w:rsid w:val="00523EB0"/>
    <w:rsid w:val="0052551D"/>
    <w:rsid w:val="005256C2"/>
    <w:rsid w:val="005327EC"/>
    <w:rsid w:val="0053329B"/>
    <w:rsid w:val="00533B2F"/>
    <w:rsid w:val="0053642C"/>
    <w:rsid w:val="00541E5A"/>
    <w:rsid w:val="00541FCA"/>
    <w:rsid w:val="005425ED"/>
    <w:rsid w:val="00542CC7"/>
    <w:rsid w:val="00545071"/>
    <w:rsid w:val="00545380"/>
    <w:rsid w:val="005470B7"/>
    <w:rsid w:val="0055318B"/>
    <w:rsid w:val="005535C9"/>
    <w:rsid w:val="00555618"/>
    <w:rsid w:val="0055588D"/>
    <w:rsid w:val="0055641A"/>
    <w:rsid w:val="00557C5E"/>
    <w:rsid w:val="00562FD9"/>
    <w:rsid w:val="005645AC"/>
    <w:rsid w:val="00564AB3"/>
    <w:rsid w:val="005668BE"/>
    <w:rsid w:val="0056716C"/>
    <w:rsid w:val="00567422"/>
    <w:rsid w:val="00567BA3"/>
    <w:rsid w:val="0057160C"/>
    <w:rsid w:val="00572584"/>
    <w:rsid w:val="00572BAC"/>
    <w:rsid w:val="0057302B"/>
    <w:rsid w:val="005734BB"/>
    <w:rsid w:val="005735FD"/>
    <w:rsid w:val="00573C52"/>
    <w:rsid w:val="0057442B"/>
    <w:rsid w:val="0057547A"/>
    <w:rsid w:val="00576446"/>
    <w:rsid w:val="00576910"/>
    <w:rsid w:val="00577634"/>
    <w:rsid w:val="005808A4"/>
    <w:rsid w:val="00582F4E"/>
    <w:rsid w:val="00584717"/>
    <w:rsid w:val="00584E2A"/>
    <w:rsid w:val="005851D1"/>
    <w:rsid w:val="00585F56"/>
    <w:rsid w:val="005900DE"/>
    <w:rsid w:val="0059194E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C25"/>
    <w:rsid w:val="005A7F1B"/>
    <w:rsid w:val="005B0ED4"/>
    <w:rsid w:val="005B2842"/>
    <w:rsid w:val="005B3EE1"/>
    <w:rsid w:val="005B41D1"/>
    <w:rsid w:val="005B6E36"/>
    <w:rsid w:val="005B7CFE"/>
    <w:rsid w:val="005C1376"/>
    <w:rsid w:val="005C1CEC"/>
    <w:rsid w:val="005C1FF3"/>
    <w:rsid w:val="005C2D63"/>
    <w:rsid w:val="005C4406"/>
    <w:rsid w:val="005C50C5"/>
    <w:rsid w:val="005C5273"/>
    <w:rsid w:val="005C5A32"/>
    <w:rsid w:val="005C5A97"/>
    <w:rsid w:val="005C6165"/>
    <w:rsid w:val="005C6EB4"/>
    <w:rsid w:val="005C76DB"/>
    <w:rsid w:val="005D09D2"/>
    <w:rsid w:val="005D30D5"/>
    <w:rsid w:val="005D4800"/>
    <w:rsid w:val="005D716F"/>
    <w:rsid w:val="005D7E2E"/>
    <w:rsid w:val="005E00D9"/>
    <w:rsid w:val="005E021C"/>
    <w:rsid w:val="005E05DD"/>
    <w:rsid w:val="005E0B6B"/>
    <w:rsid w:val="005E0BB7"/>
    <w:rsid w:val="005E12B0"/>
    <w:rsid w:val="005E209B"/>
    <w:rsid w:val="005E2A5F"/>
    <w:rsid w:val="005E373C"/>
    <w:rsid w:val="005E472D"/>
    <w:rsid w:val="005E5A89"/>
    <w:rsid w:val="005E5C72"/>
    <w:rsid w:val="005E7134"/>
    <w:rsid w:val="005F09EB"/>
    <w:rsid w:val="005F11CF"/>
    <w:rsid w:val="005F1363"/>
    <w:rsid w:val="005F16D1"/>
    <w:rsid w:val="005F248F"/>
    <w:rsid w:val="005F2849"/>
    <w:rsid w:val="005F28BA"/>
    <w:rsid w:val="005F437E"/>
    <w:rsid w:val="005F4F5D"/>
    <w:rsid w:val="005F5AC7"/>
    <w:rsid w:val="005F74AF"/>
    <w:rsid w:val="006004D5"/>
    <w:rsid w:val="00601DA9"/>
    <w:rsid w:val="00602ED7"/>
    <w:rsid w:val="00602EE1"/>
    <w:rsid w:val="006037DF"/>
    <w:rsid w:val="006055B4"/>
    <w:rsid w:val="00610681"/>
    <w:rsid w:val="0061071C"/>
    <w:rsid w:val="00611410"/>
    <w:rsid w:val="00612829"/>
    <w:rsid w:val="00612CB4"/>
    <w:rsid w:val="00621282"/>
    <w:rsid w:val="006214A6"/>
    <w:rsid w:val="006225D9"/>
    <w:rsid w:val="006247EF"/>
    <w:rsid w:val="00627860"/>
    <w:rsid w:val="00631C8F"/>
    <w:rsid w:val="0063220C"/>
    <w:rsid w:val="006344D9"/>
    <w:rsid w:val="00636FD7"/>
    <w:rsid w:val="006414D0"/>
    <w:rsid w:val="006418F9"/>
    <w:rsid w:val="00642280"/>
    <w:rsid w:val="006435E7"/>
    <w:rsid w:val="00643F74"/>
    <w:rsid w:val="0064405C"/>
    <w:rsid w:val="006449EA"/>
    <w:rsid w:val="00645A77"/>
    <w:rsid w:val="00645F40"/>
    <w:rsid w:val="006469CA"/>
    <w:rsid w:val="00646E14"/>
    <w:rsid w:val="006505E8"/>
    <w:rsid w:val="00651841"/>
    <w:rsid w:val="00652628"/>
    <w:rsid w:val="0065414E"/>
    <w:rsid w:val="00654335"/>
    <w:rsid w:val="0065788C"/>
    <w:rsid w:val="00660532"/>
    <w:rsid w:val="006610D3"/>
    <w:rsid w:val="006624F3"/>
    <w:rsid w:val="00662BA5"/>
    <w:rsid w:val="00667CFC"/>
    <w:rsid w:val="00670E4E"/>
    <w:rsid w:val="006712A3"/>
    <w:rsid w:val="006717EE"/>
    <w:rsid w:val="00671E1E"/>
    <w:rsid w:val="006738FE"/>
    <w:rsid w:val="00673F7B"/>
    <w:rsid w:val="006749CB"/>
    <w:rsid w:val="00675700"/>
    <w:rsid w:val="006758C7"/>
    <w:rsid w:val="006764AB"/>
    <w:rsid w:val="00676D80"/>
    <w:rsid w:val="00680037"/>
    <w:rsid w:val="00680AD8"/>
    <w:rsid w:val="00680C9A"/>
    <w:rsid w:val="00680D9D"/>
    <w:rsid w:val="006813AC"/>
    <w:rsid w:val="00681D7F"/>
    <w:rsid w:val="006841B1"/>
    <w:rsid w:val="006842F0"/>
    <w:rsid w:val="006849A6"/>
    <w:rsid w:val="006869F5"/>
    <w:rsid w:val="00686BB4"/>
    <w:rsid w:val="006930F3"/>
    <w:rsid w:val="00694F19"/>
    <w:rsid w:val="00696915"/>
    <w:rsid w:val="00697E4E"/>
    <w:rsid w:val="006A02A2"/>
    <w:rsid w:val="006A02E5"/>
    <w:rsid w:val="006A08D0"/>
    <w:rsid w:val="006A156C"/>
    <w:rsid w:val="006A1709"/>
    <w:rsid w:val="006A1975"/>
    <w:rsid w:val="006A4822"/>
    <w:rsid w:val="006A5A7C"/>
    <w:rsid w:val="006A664A"/>
    <w:rsid w:val="006B0FA5"/>
    <w:rsid w:val="006B21E1"/>
    <w:rsid w:val="006B31F3"/>
    <w:rsid w:val="006C037C"/>
    <w:rsid w:val="006C18C2"/>
    <w:rsid w:val="006C29C6"/>
    <w:rsid w:val="006C2CCC"/>
    <w:rsid w:val="006C5E05"/>
    <w:rsid w:val="006C7ADD"/>
    <w:rsid w:val="006D0ACE"/>
    <w:rsid w:val="006D2DDC"/>
    <w:rsid w:val="006E1146"/>
    <w:rsid w:val="006E1E77"/>
    <w:rsid w:val="006E27FE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8E5"/>
    <w:rsid w:val="006F4EAF"/>
    <w:rsid w:val="006F651B"/>
    <w:rsid w:val="007000CC"/>
    <w:rsid w:val="00701C4B"/>
    <w:rsid w:val="007027CA"/>
    <w:rsid w:val="00702E63"/>
    <w:rsid w:val="00705E14"/>
    <w:rsid w:val="00705F45"/>
    <w:rsid w:val="007101D1"/>
    <w:rsid w:val="00712BCA"/>
    <w:rsid w:val="00713A20"/>
    <w:rsid w:val="00714AD0"/>
    <w:rsid w:val="00715111"/>
    <w:rsid w:val="00715394"/>
    <w:rsid w:val="0071697D"/>
    <w:rsid w:val="007170EE"/>
    <w:rsid w:val="007219FB"/>
    <w:rsid w:val="00721C5B"/>
    <w:rsid w:val="0072201D"/>
    <w:rsid w:val="00722E6B"/>
    <w:rsid w:val="00724456"/>
    <w:rsid w:val="00725990"/>
    <w:rsid w:val="00725D21"/>
    <w:rsid w:val="0072625E"/>
    <w:rsid w:val="00731148"/>
    <w:rsid w:val="0073194C"/>
    <w:rsid w:val="00731C18"/>
    <w:rsid w:val="00731DA2"/>
    <w:rsid w:val="0073235D"/>
    <w:rsid w:val="00732868"/>
    <w:rsid w:val="00733393"/>
    <w:rsid w:val="00734590"/>
    <w:rsid w:val="00734BC0"/>
    <w:rsid w:val="00734FB6"/>
    <w:rsid w:val="00737D7F"/>
    <w:rsid w:val="0074039B"/>
    <w:rsid w:val="00741508"/>
    <w:rsid w:val="00742E33"/>
    <w:rsid w:val="0074351C"/>
    <w:rsid w:val="007449D2"/>
    <w:rsid w:val="0074610E"/>
    <w:rsid w:val="007465FA"/>
    <w:rsid w:val="00747C1E"/>
    <w:rsid w:val="00751092"/>
    <w:rsid w:val="007516A9"/>
    <w:rsid w:val="007527C8"/>
    <w:rsid w:val="007538AA"/>
    <w:rsid w:val="007561C1"/>
    <w:rsid w:val="00756658"/>
    <w:rsid w:val="007601CE"/>
    <w:rsid w:val="00760879"/>
    <w:rsid w:val="007614C6"/>
    <w:rsid w:val="00761A3D"/>
    <w:rsid w:val="00764407"/>
    <w:rsid w:val="007647D5"/>
    <w:rsid w:val="00766CE4"/>
    <w:rsid w:val="00771986"/>
    <w:rsid w:val="0077219A"/>
    <w:rsid w:val="007722AB"/>
    <w:rsid w:val="0077543D"/>
    <w:rsid w:val="00776C52"/>
    <w:rsid w:val="007776C0"/>
    <w:rsid w:val="00780954"/>
    <w:rsid w:val="007813EE"/>
    <w:rsid w:val="00781CFC"/>
    <w:rsid w:val="00783751"/>
    <w:rsid w:val="007840D8"/>
    <w:rsid w:val="0078415C"/>
    <w:rsid w:val="00784173"/>
    <w:rsid w:val="0078473E"/>
    <w:rsid w:val="007911BF"/>
    <w:rsid w:val="00791DD9"/>
    <w:rsid w:val="00794116"/>
    <w:rsid w:val="00794FE3"/>
    <w:rsid w:val="00794FE4"/>
    <w:rsid w:val="007A1ADF"/>
    <w:rsid w:val="007A2360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619A"/>
    <w:rsid w:val="007B6BBE"/>
    <w:rsid w:val="007B78C8"/>
    <w:rsid w:val="007C05C1"/>
    <w:rsid w:val="007C05F9"/>
    <w:rsid w:val="007C3C4F"/>
    <w:rsid w:val="007C4C90"/>
    <w:rsid w:val="007C4EFB"/>
    <w:rsid w:val="007C5BB7"/>
    <w:rsid w:val="007C63AF"/>
    <w:rsid w:val="007C7F5D"/>
    <w:rsid w:val="007D192F"/>
    <w:rsid w:val="007D22AA"/>
    <w:rsid w:val="007D230A"/>
    <w:rsid w:val="007D29EF"/>
    <w:rsid w:val="007D3B8A"/>
    <w:rsid w:val="007D3DFA"/>
    <w:rsid w:val="007D4FAD"/>
    <w:rsid w:val="007D5737"/>
    <w:rsid w:val="007D6A55"/>
    <w:rsid w:val="007D7A32"/>
    <w:rsid w:val="007E0129"/>
    <w:rsid w:val="007E0214"/>
    <w:rsid w:val="007E1AA2"/>
    <w:rsid w:val="007E1B8C"/>
    <w:rsid w:val="007E2092"/>
    <w:rsid w:val="007E3289"/>
    <w:rsid w:val="007E7156"/>
    <w:rsid w:val="007F117A"/>
    <w:rsid w:val="007F26B5"/>
    <w:rsid w:val="007F44D8"/>
    <w:rsid w:val="007F4572"/>
    <w:rsid w:val="007F5CB6"/>
    <w:rsid w:val="007F5E9A"/>
    <w:rsid w:val="007F75A9"/>
    <w:rsid w:val="008007F9"/>
    <w:rsid w:val="008036F6"/>
    <w:rsid w:val="008042D7"/>
    <w:rsid w:val="00806F32"/>
    <w:rsid w:val="00807036"/>
    <w:rsid w:val="0081195A"/>
    <w:rsid w:val="00812E4B"/>
    <w:rsid w:val="00813D28"/>
    <w:rsid w:val="00814239"/>
    <w:rsid w:val="008142C0"/>
    <w:rsid w:val="008145BE"/>
    <w:rsid w:val="0081502B"/>
    <w:rsid w:val="00815B49"/>
    <w:rsid w:val="0081765B"/>
    <w:rsid w:val="00822EB7"/>
    <w:rsid w:val="008245D2"/>
    <w:rsid w:val="00825939"/>
    <w:rsid w:val="00825DAE"/>
    <w:rsid w:val="00825F87"/>
    <w:rsid w:val="00826170"/>
    <w:rsid w:val="008264FB"/>
    <w:rsid w:val="00830F49"/>
    <w:rsid w:val="008344D1"/>
    <w:rsid w:val="0083501B"/>
    <w:rsid w:val="00837385"/>
    <w:rsid w:val="00837CE4"/>
    <w:rsid w:val="008404B6"/>
    <w:rsid w:val="0084064E"/>
    <w:rsid w:val="008407F2"/>
    <w:rsid w:val="00841007"/>
    <w:rsid w:val="008422B8"/>
    <w:rsid w:val="00845B10"/>
    <w:rsid w:val="00845CE8"/>
    <w:rsid w:val="00845DDB"/>
    <w:rsid w:val="00847F5F"/>
    <w:rsid w:val="00851B78"/>
    <w:rsid w:val="00852BAE"/>
    <w:rsid w:val="008536A2"/>
    <w:rsid w:val="00853A2C"/>
    <w:rsid w:val="00853CF2"/>
    <w:rsid w:val="00855D60"/>
    <w:rsid w:val="00856C83"/>
    <w:rsid w:val="00856ED0"/>
    <w:rsid w:val="00857B90"/>
    <w:rsid w:val="008630F6"/>
    <w:rsid w:val="00864408"/>
    <w:rsid w:val="00866EA9"/>
    <w:rsid w:val="00870291"/>
    <w:rsid w:val="00871D91"/>
    <w:rsid w:val="00871E81"/>
    <w:rsid w:val="00875F9B"/>
    <w:rsid w:val="00876E6D"/>
    <w:rsid w:val="0087726F"/>
    <w:rsid w:val="008810F0"/>
    <w:rsid w:val="00881904"/>
    <w:rsid w:val="008821F3"/>
    <w:rsid w:val="0088350B"/>
    <w:rsid w:val="00883E10"/>
    <w:rsid w:val="00887D36"/>
    <w:rsid w:val="00890021"/>
    <w:rsid w:val="00890F45"/>
    <w:rsid w:val="008923CC"/>
    <w:rsid w:val="00892A60"/>
    <w:rsid w:val="00897399"/>
    <w:rsid w:val="008A12D5"/>
    <w:rsid w:val="008A1A89"/>
    <w:rsid w:val="008A2E56"/>
    <w:rsid w:val="008A30B9"/>
    <w:rsid w:val="008A3467"/>
    <w:rsid w:val="008A3484"/>
    <w:rsid w:val="008A36F5"/>
    <w:rsid w:val="008A443F"/>
    <w:rsid w:val="008A4F6B"/>
    <w:rsid w:val="008A5A7A"/>
    <w:rsid w:val="008B2F75"/>
    <w:rsid w:val="008B3BAA"/>
    <w:rsid w:val="008B3C1C"/>
    <w:rsid w:val="008B51EC"/>
    <w:rsid w:val="008B7462"/>
    <w:rsid w:val="008B773D"/>
    <w:rsid w:val="008C013D"/>
    <w:rsid w:val="008C0CA9"/>
    <w:rsid w:val="008C1384"/>
    <w:rsid w:val="008C2BA1"/>
    <w:rsid w:val="008C32AD"/>
    <w:rsid w:val="008C6A7E"/>
    <w:rsid w:val="008C6F95"/>
    <w:rsid w:val="008C70C5"/>
    <w:rsid w:val="008C7F79"/>
    <w:rsid w:val="008D08A1"/>
    <w:rsid w:val="008D0EB1"/>
    <w:rsid w:val="008D1466"/>
    <w:rsid w:val="008D3E60"/>
    <w:rsid w:val="008D4DE4"/>
    <w:rsid w:val="008D549C"/>
    <w:rsid w:val="008D73B3"/>
    <w:rsid w:val="008D7479"/>
    <w:rsid w:val="008E1E6C"/>
    <w:rsid w:val="008E5B94"/>
    <w:rsid w:val="008E5C30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E0"/>
    <w:rsid w:val="008F5566"/>
    <w:rsid w:val="008F7C7F"/>
    <w:rsid w:val="00900997"/>
    <w:rsid w:val="009015D6"/>
    <w:rsid w:val="0090341E"/>
    <w:rsid w:val="00904589"/>
    <w:rsid w:val="00905F4A"/>
    <w:rsid w:val="00906660"/>
    <w:rsid w:val="00907464"/>
    <w:rsid w:val="00910B1F"/>
    <w:rsid w:val="00911000"/>
    <w:rsid w:val="00912A2D"/>
    <w:rsid w:val="0091678C"/>
    <w:rsid w:val="00916EC7"/>
    <w:rsid w:val="00917FDE"/>
    <w:rsid w:val="00920AA9"/>
    <w:rsid w:val="00922252"/>
    <w:rsid w:val="00922492"/>
    <w:rsid w:val="00922714"/>
    <w:rsid w:val="00925806"/>
    <w:rsid w:val="009259F5"/>
    <w:rsid w:val="0092786F"/>
    <w:rsid w:val="00927CC3"/>
    <w:rsid w:val="00930BE1"/>
    <w:rsid w:val="00930D41"/>
    <w:rsid w:val="00931904"/>
    <w:rsid w:val="009324E3"/>
    <w:rsid w:val="00933802"/>
    <w:rsid w:val="00934B5C"/>
    <w:rsid w:val="00935F61"/>
    <w:rsid w:val="00936463"/>
    <w:rsid w:val="00937983"/>
    <w:rsid w:val="00940CD5"/>
    <w:rsid w:val="00942640"/>
    <w:rsid w:val="00943835"/>
    <w:rsid w:val="0094412A"/>
    <w:rsid w:val="0094532E"/>
    <w:rsid w:val="009454AD"/>
    <w:rsid w:val="00946E8F"/>
    <w:rsid w:val="0095206C"/>
    <w:rsid w:val="0095219B"/>
    <w:rsid w:val="00952C0C"/>
    <w:rsid w:val="00953683"/>
    <w:rsid w:val="0095420C"/>
    <w:rsid w:val="009548FF"/>
    <w:rsid w:val="0095616A"/>
    <w:rsid w:val="0095709F"/>
    <w:rsid w:val="00961618"/>
    <w:rsid w:val="00961CD7"/>
    <w:rsid w:val="009633DA"/>
    <w:rsid w:val="00965189"/>
    <w:rsid w:val="00966281"/>
    <w:rsid w:val="0096661D"/>
    <w:rsid w:val="009673DA"/>
    <w:rsid w:val="0096750A"/>
    <w:rsid w:val="00967C41"/>
    <w:rsid w:val="009704C3"/>
    <w:rsid w:val="00971EA4"/>
    <w:rsid w:val="00972514"/>
    <w:rsid w:val="00973E4F"/>
    <w:rsid w:val="00973FD8"/>
    <w:rsid w:val="009746D7"/>
    <w:rsid w:val="00975808"/>
    <w:rsid w:val="009763C8"/>
    <w:rsid w:val="009764BA"/>
    <w:rsid w:val="009767A1"/>
    <w:rsid w:val="00976F76"/>
    <w:rsid w:val="009772F8"/>
    <w:rsid w:val="00977D52"/>
    <w:rsid w:val="009802B5"/>
    <w:rsid w:val="00980FF5"/>
    <w:rsid w:val="00981ECE"/>
    <w:rsid w:val="00986AD2"/>
    <w:rsid w:val="009871C2"/>
    <w:rsid w:val="0098786F"/>
    <w:rsid w:val="009901C3"/>
    <w:rsid w:val="009913F2"/>
    <w:rsid w:val="00992C0C"/>
    <w:rsid w:val="00993B69"/>
    <w:rsid w:val="0099523D"/>
    <w:rsid w:val="00996D2D"/>
    <w:rsid w:val="00996EBC"/>
    <w:rsid w:val="009A2265"/>
    <w:rsid w:val="009A31B5"/>
    <w:rsid w:val="009A5456"/>
    <w:rsid w:val="009A5D3D"/>
    <w:rsid w:val="009A75CF"/>
    <w:rsid w:val="009B052F"/>
    <w:rsid w:val="009B09AB"/>
    <w:rsid w:val="009B1B87"/>
    <w:rsid w:val="009B1CE4"/>
    <w:rsid w:val="009B409E"/>
    <w:rsid w:val="009B78A0"/>
    <w:rsid w:val="009C0CD7"/>
    <w:rsid w:val="009C191C"/>
    <w:rsid w:val="009C22DA"/>
    <w:rsid w:val="009C3F7B"/>
    <w:rsid w:val="009C4FA5"/>
    <w:rsid w:val="009C5EA7"/>
    <w:rsid w:val="009C7152"/>
    <w:rsid w:val="009C729A"/>
    <w:rsid w:val="009C7A6F"/>
    <w:rsid w:val="009D06FC"/>
    <w:rsid w:val="009D15B6"/>
    <w:rsid w:val="009D2BCB"/>
    <w:rsid w:val="009D41D2"/>
    <w:rsid w:val="009D50E1"/>
    <w:rsid w:val="009D5F65"/>
    <w:rsid w:val="009D6B31"/>
    <w:rsid w:val="009D6EC5"/>
    <w:rsid w:val="009D7DB2"/>
    <w:rsid w:val="009E0837"/>
    <w:rsid w:val="009E0C18"/>
    <w:rsid w:val="009E2413"/>
    <w:rsid w:val="009E4A37"/>
    <w:rsid w:val="009E5866"/>
    <w:rsid w:val="009E7A04"/>
    <w:rsid w:val="009F03EE"/>
    <w:rsid w:val="009F3242"/>
    <w:rsid w:val="009F398D"/>
    <w:rsid w:val="009F798C"/>
    <w:rsid w:val="00A00953"/>
    <w:rsid w:val="00A011FC"/>
    <w:rsid w:val="00A01753"/>
    <w:rsid w:val="00A03042"/>
    <w:rsid w:val="00A03492"/>
    <w:rsid w:val="00A04028"/>
    <w:rsid w:val="00A06B98"/>
    <w:rsid w:val="00A07963"/>
    <w:rsid w:val="00A07DCE"/>
    <w:rsid w:val="00A10C92"/>
    <w:rsid w:val="00A110DF"/>
    <w:rsid w:val="00A13084"/>
    <w:rsid w:val="00A13A09"/>
    <w:rsid w:val="00A15865"/>
    <w:rsid w:val="00A15B58"/>
    <w:rsid w:val="00A15F18"/>
    <w:rsid w:val="00A179C1"/>
    <w:rsid w:val="00A20916"/>
    <w:rsid w:val="00A20CB0"/>
    <w:rsid w:val="00A20DD7"/>
    <w:rsid w:val="00A23367"/>
    <w:rsid w:val="00A242FA"/>
    <w:rsid w:val="00A24F77"/>
    <w:rsid w:val="00A2536F"/>
    <w:rsid w:val="00A254FD"/>
    <w:rsid w:val="00A25F2B"/>
    <w:rsid w:val="00A3006C"/>
    <w:rsid w:val="00A3116D"/>
    <w:rsid w:val="00A347FE"/>
    <w:rsid w:val="00A354ED"/>
    <w:rsid w:val="00A3578A"/>
    <w:rsid w:val="00A370F2"/>
    <w:rsid w:val="00A37B1B"/>
    <w:rsid w:val="00A40A1D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6F7"/>
    <w:rsid w:val="00A47B70"/>
    <w:rsid w:val="00A5005B"/>
    <w:rsid w:val="00A50281"/>
    <w:rsid w:val="00A5225D"/>
    <w:rsid w:val="00A5255D"/>
    <w:rsid w:val="00A53F67"/>
    <w:rsid w:val="00A5427F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72B7"/>
    <w:rsid w:val="00A67EAA"/>
    <w:rsid w:val="00A70992"/>
    <w:rsid w:val="00A70F55"/>
    <w:rsid w:val="00A712EE"/>
    <w:rsid w:val="00A71F13"/>
    <w:rsid w:val="00A73068"/>
    <w:rsid w:val="00A73E46"/>
    <w:rsid w:val="00A74984"/>
    <w:rsid w:val="00A74D97"/>
    <w:rsid w:val="00A763A6"/>
    <w:rsid w:val="00A76A93"/>
    <w:rsid w:val="00A818AD"/>
    <w:rsid w:val="00A81F24"/>
    <w:rsid w:val="00A830C8"/>
    <w:rsid w:val="00A83680"/>
    <w:rsid w:val="00A83E6D"/>
    <w:rsid w:val="00A85632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B07"/>
    <w:rsid w:val="00AA3C41"/>
    <w:rsid w:val="00AA46B1"/>
    <w:rsid w:val="00AA4D2A"/>
    <w:rsid w:val="00AA4E40"/>
    <w:rsid w:val="00AA5706"/>
    <w:rsid w:val="00AA69C8"/>
    <w:rsid w:val="00AA6ECC"/>
    <w:rsid w:val="00AA7BDA"/>
    <w:rsid w:val="00AB0D16"/>
    <w:rsid w:val="00AB6C52"/>
    <w:rsid w:val="00AB73B0"/>
    <w:rsid w:val="00AB78E0"/>
    <w:rsid w:val="00AB7EA0"/>
    <w:rsid w:val="00AC246B"/>
    <w:rsid w:val="00AC28B1"/>
    <w:rsid w:val="00AC29A3"/>
    <w:rsid w:val="00AC3880"/>
    <w:rsid w:val="00AC3B73"/>
    <w:rsid w:val="00AC3CB7"/>
    <w:rsid w:val="00AC4FA2"/>
    <w:rsid w:val="00AC798D"/>
    <w:rsid w:val="00AD0958"/>
    <w:rsid w:val="00AD1514"/>
    <w:rsid w:val="00AD2A0F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30E1"/>
    <w:rsid w:val="00AE4329"/>
    <w:rsid w:val="00AE4C26"/>
    <w:rsid w:val="00AE4D8F"/>
    <w:rsid w:val="00AE5FD4"/>
    <w:rsid w:val="00AE5FF5"/>
    <w:rsid w:val="00AE64A1"/>
    <w:rsid w:val="00AF05C6"/>
    <w:rsid w:val="00AF3C40"/>
    <w:rsid w:val="00AF4D62"/>
    <w:rsid w:val="00AF5939"/>
    <w:rsid w:val="00AF6363"/>
    <w:rsid w:val="00AF698E"/>
    <w:rsid w:val="00B03113"/>
    <w:rsid w:val="00B03FEC"/>
    <w:rsid w:val="00B04AA9"/>
    <w:rsid w:val="00B053CD"/>
    <w:rsid w:val="00B06B61"/>
    <w:rsid w:val="00B10457"/>
    <w:rsid w:val="00B105C4"/>
    <w:rsid w:val="00B11B1F"/>
    <w:rsid w:val="00B143CE"/>
    <w:rsid w:val="00B14DF0"/>
    <w:rsid w:val="00B16C02"/>
    <w:rsid w:val="00B17E5E"/>
    <w:rsid w:val="00B20563"/>
    <w:rsid w:val="00B207DD"/>
    <w:rsid w:val="00B20899"/>
    <w:rsid w:val="00B23E4B"/>
    <w:rsid w:val="00B24585"/>
    <w:rsid w:val="00B24964"/>
    <w:rsid w:val="00B2627C"/>
    <w:rsid w:val="00B267C3"/>
    <w:rsid w:val="00B26A8D"/>
    <w:rsid w:val="00B27191"/>
    <w:rsid w:val="00B3078C"/>
    <w:rsid w:val="00B31A19"/>
    <w:rsid w:val="00B33331"/>
    <w:rsid w:val="00B34516"/>
    <w:rsid w:val="00B34A43"/>
    <w:rsid w:val="00B36761"/>
    <w:rsid w:val="00B36916"/>
    <w:rsid w:val="00B37473"/>
    <w:rsid w:val="00B3790D"/>
    <w:rsid w:val="00B41FE5"/>
    <w:rsid w:val="00B42513"/>
    <w:rsid w:val="00B4543E"/>
    <w:rsid w:val="00B45FCA"/>
    <w:rsid w:val="00B47E68"/>
    <w:rsid w:val="00B50DA2"/>
    <w:rsid w:val="00B50F75"/>
    <w:rsid w:val="00B51C53"/>
    <w:rsid w:val="00B5267B"/>
    <w:rsid w:val="00B5441D"/>
    <w:rsid w:val="00B56DD8"/>
    <w:rsid w:val="00B57691"/>
    <w:rsid w:val="00B6022C"/>
    <w:rsid w:val="00B602D5"/>
    <w:rsid w:val="00B60D86"/>
    <w:rsid w:val="00B6221D"/>
    <w:rsid w:val="00B62FEA"/>
    <w:rsid w:val="00B63230"/>
    <w:rsid w:val="00B63D0A"/>
    <w:rsid w:val="00B64DDF"/>
    <w:rsid w:val="00B65455"/>
    <w:rsid w:val="00B65874"/>
    <w:rsid w:val="00B66A8A"/>
    <w:rsid w:val="00B679E3"/>
    <w:rsid w:val="00B71744"/>
    <w:rsid w:val="00B71B9D"/>
    <w:rsid w:val="00B720EA"/>
    <w:rsid w:val="00B72726"/>
    <w:rsid w:val="00B73824"/>
    <w:rsid w:val="00B74357"/>
    <w:rsid w:val="00B74447"/>
    <w:rsid w:val="00B75B34"/>
    <w:rsid w:val="00B805CB"/>
    <w:rsid w:val="00B81A37"/>
    <w:rsid w:val="00B84002"/>
    <w:rsid w:val="00B84FB0"/>
    <w:rsid w:val="00B85689"/>
    <w:rsid w:val="00B865F1"/>
    <w:rsid w:val="00B92350"/>
    <w:rsid w:val="00B92950"/>
    <w:rsid w:val="00B94E26"/>
    <w:rsid w:val="00B95058"/>
    <w:rsid w:val="00BA0146"/>
    <w:rsid w:val="00BA2EAA"/>
    <w:rsid w:val="00BA385B"/>
    <w:rsid w:val="00BA3AC2"/>
    <w:rsid w:val="00BA7727"/>
    <w:rsid w:val="00BB135D"/>
    <w:rsid w:val="00BB17D8"/>
    <w:rsid w:val="00BB188E"/>
    <w:rsid w:val="00BC05E3"/>
    <w:rsid w:val="00BC1553"/>
    <w:rsid w:val="00BC1B96"/>
    <w:rsid w:val="00BC4E23"/>
    <w:rsid w:val="00BC6918"/>
    <w:rsid w:val="00BD035B"/>
    <w:rsid w:val="00BD059D"/>
    <w:rsid w:val="00BD0E84"/>
    <w:rsid w:val="00BD1513"/>
    <w:rsid w:val="00BD31B5"/>
    <w:rsid w:val="00BD3941"/>
    <w:rsid w:val="00BD3F8A"/>
    <w:rsid w:val="00BD4479"/>
    <w:rsid w:val="00BD4B4E"/>
    <w:rsid w:val="00BD4C89"/>
    <w:rsid w:val="00BD55BF"/>
    <w:rsid w:val="00BD75E2"/>
    <w:rsid w:val="00BD7F33"/>
    <w:rsid w:val="00BE0505"/>
    <w:rsid w:val="00BE5033"/>
    <w:rsid w:val="00BE585D"/>
    <w:rsid w:val="00BE6EB0"/>
    <w:rsid w:val="00BE7384"/>
    <w:rsid w:val="00BE77B1"/>
    <w:rsid w:val="00BE77E6"/>
    <w:rsid w:val="00BF00A8"/>
    <w:rsid w:val="00BF1076"/>
    <w:rsid w:val="00BF2670"/>
    <w:rsid w:val="00BF489B"/>
    <w:rsid w:val="00BF53EF"/>
    <w:rsid w:val="00BF5512"/>
    <w:rsid w:val="00BF7E27"/>
    <w:rsid w:val="00BF7E68"/>
    <w:rsid w:val="00C00CE6"/>
    <w:rsid w:val="00C016CB"/>
    <w:rsid w:val="00C033A7"/>
    <w:rsid w:val="00C04ACF"/>
    <w:rsid w:val="00C0508A"/>
    <w:rsid w:val="00C050CA"/>
    <w:rsid w:val="00C06498"/>
    <w:rsid w:val="00C064E5"/>
    <w:rsid w:val="00C11C53"/>
    <w:rsid w:val="00C11E2B"/>
    <w:rsid w:val="00C11EE6"/>
    <w:rsid w:val="00C133BF"/>
    <w:rsid w:val="00C13965"/>
    <w:rsid w:val="00C13CBA"/>
    <w:rsid w:val="00C13F87"/>
    <w:rsid w:val="00C15751"/>
    <w:rsid w:val="00C157FA"/>
    <w:rsid w:val="00C15F1B"/>
    <w:rsid w:val="00C16DDE"/>
    <w:rsid w:val="00C17D0A"/>
    <w:rsid w:val="00C20129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62DB"/>
    <w:rsid w:val="00C27CE0"/>
    <w:rsid w:val="00C35DA8"/>
    <w:rsid w:val="00C3723A"/>
    <w:rsid w:val="00C3770C"/>
    <w:rsid w:val="00C422B4"/>
    <w:rsid w:val="00C42608"/>
    <w:rsid w:val="00C42912"/>
    <w:rsid w:val="00C42B4E"/>
    <w:rsid w:val="00C445E0"/>
    <w:rsid w:val="00C44F05"/>
    <w:rsid w:val="00C44F9B"/>
    <w:rsid w:val="00C45224"/>
    <w:rsid w:val="00C4593E"/>
    <w:rsid w:val="00C4594D"/>
    <w:rsid w:val="00C459A1"/>
    <w:rsid w:val="00C47C72"/>
    <w:rsid w:val="00C5108F"/>
    <w:rsid w:val="00C5249C"/>
    <w:rsid w:val="00C53618"/>
    <w:rsid w:val="00C54043"/>
    <w:rsid w:val="00C547E4"/>
    <w:rsid w:val="00C570D3"/>
    <w:rsid w:val="00C570EF"/>
    <w:rsid w:val="00C5740C"/>
    <w:rsid w:val="00C635DE"/>
    <w:rsid w:val="00C635EC"/>
    <w:rsid w:val="00C63FDA"/>
    <w:rsid w:val="00C64B8D"/>
    <w:rsid w:val="00C652C7"/>
    <w:rsid w:val="00C65B6E"/>
    <w:rsid w:val="00C6637F"/>
    <w:rsid w:val="00C67F8D"/>
    <w:rsid w:val="00C713C8"/>
    <w:rsid w:val="00C71A5D"/>
    <w:rsid w:val="00C71DB0"/>
    <w:rsid w:val="00C72F2C"/>
    <w:rsid w:val="00C74415"/>
    <w:rsid w:val="00C74D23"/>
    <w:rsid w:val="00C76406"/>
    <w:rsid w:val="00C77FD3"/>
    <w:rsid w:val="00C800B1"/>
    <w:rsid w:val="00C80AF2"/>
    <w:rsid w:val="00C813A2"/>
    <w:rsid w:val="00C81C1C"/>
    <w:rsid w:val="00C81FC8"/>
    <w:rsid w:val="00C82B8E"/>
    <w:rsid w:val="00C82B99"/>
    <w:rsid w:val="00C82BEC"/>
    <w:rsid w:val="00C84219"/>
    <w:rsid w:val="00C847FA"/>
    <w:rsid w:val="00C8664F"/>
    <w:rsid w:val="00C86D78"/>
    <w:rsid w:val="00C86F9A"/>
    <w:rsid w:val="00C87245"/>
    <w:rsid w:val="00C91ABA"/>
    <w:rsid w:val="00C939BD"/>
    <w:rsid w:val="00C94BA0"/>
    <w:rsid w:val="00C962A8"/>
    <w:rsid w:val="00CA1755"/>
    <w:rsid w:val="00CA199F"/>
    <w:rsid w:val="00CA19A2"/>
    <w:rsid w:val="00CA1E3E"/>
    <w:rsid w:val="00CA2FD4"/>
    <w:rsid w:val="00CA4B05"/>
    <w:rsid w:val="00CA4B7C"/>
    <w:rsid w:val="00CA5978"/>
    <w:rsid w:val="00CA6453"/>
    <w:rsid w:val="00CA6A4F"/>
    <w:rsid w:val="00CA7267"/>
    <w:rsid w:val="00CB01BE"/>
    <w:rsid w:val="00CB2B0B"/>
    <w:rsid w:val="00CB3F07"/>
    <w:rsid w:val="00CB481F"/>
    <w:rsid w:val="00CC2790"/>
    <w:rsid w:val="00CC29DE"/>
    <w:rsid w:val="00CC314D"/>
    <w:rsid w:val="00CC33E6"/>
    <w:rsid w:val="00CC376E"/>
    <w:rsid w:val="00CC4035"/>
    <w:rsid w:val="00CC56C7"/>
    <w:rsid w:val="00CC5BE0"/>
    <w:rsid w:val="00CC751B"/>
    <w:rsid w:val="00CC7BC3"/>
    <w:rsid w:val="00CD01E3"/>
    <w:rsid w:val="00CD056E"/>
    <w:rsid w:val="00CD0A20"/>
    <w:rsid w:val="00CD180F"/>
    <w:rsid w:val="00CD2CF9"/>
    <w:rsid w:val="00CD3DB0"/>
    <w:rsid w:val="00CD4FBE"/>
    <w:rsid w:val="00CD5E1C"/>
    <w:rsid w:val="00CE0612"/>
    <w:rsid w:val="00CE11A0"/>
    <w:rsid w:val="00CE2751"/>
    <w:rsid w:val="00CE4EFB"/>
    <w:rsid w:val="00CE5313"/>
    <w:rsid w:val="00CE7FE5"/>
    <w:rsid w:val="00CF0882"/>
    <w:rsid w:val="00CF183B"/>
    <w:rsid w:val="00CF1A3B"/>
    <w:rsid w:val="00CF3EFD"/>
    <w:rsid w:val="00CF3F65"/>
    <w:rsid w:val="00CF3F6D"/>
    <w:rsid w:val="00CF401C"/>
    <w:rsid w:val="00CF5F9E"/>
    <w:rsid w:val="00CF6EB9"/>
    <w:rsid w:val="00CF7D54"/>
    <w:rsid w:val="00D00F6B"/>
    <w:rsid w:val="00D01A25"/>
    <w:rsid w:val="00D03320"/>
    <w:rsid w:val="00D04D98"/>
    <w:rsid w:val="00D06A14"/>
    <w:rsid w:val="00D10333"/>
    <w:rsid w:val="00D1065D"/>
    <w:rsid w:val="00D11143"/>
    <w:rsid w:val="00D11D03"/>
    <w:rsid w:val="00D1441B"/>
    <w:rsid w:val="00D147E3"/>
    <w:rsid w:val="00D1576B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31AF"/>
    <w:rsid w:val="00D33F68"/>
    <w:rsid w:val="00D34229"/>
    <w:rsid w:val="00D35206"/>
    <w:rsid w:val="00D352A8"/>
    <w:rsid w:val="00D36D22"/>
    <w:rsid w:val="00D40301"/>
    <w:rsid w:val="00D4069F"/>
    <w:rsid w:val="00D41D59"/>
    <w:rsid w:val="00D426A7"/>
    <w:rsid w:val="00D430E8"/>
    <w:rsid w:val="00D438AB"/>
    <w:rsid w:val="00D456C7"/>
    <w:rsid w:val="00D50160"/>
    <w:rsid w:val="00D51D65"/>
    <w:rsid w:val="00D52469"/>
    <w:rsid w:val="00D548FF"/>
    <w:rsid w:val="00D54CF6"/>
    <w:rsid w:val="00D56587"/>
    <w:rsid w:val="00D57783"/>
    <w:rsid w:val="00D57FF9"/>
    <w:rsid w:val="00D6330E"/>
    <w:rsid w:val="00D6532E"/>
    <w:rsid w:val="00D65AA3"/>
    <w:rsid w:val="00D67AA9"/>
    <w:rsid w:val="00D67ABB"/>
    <w:rsid w:val="00D7008D"/>
    <w:rsid w:val="00D703C0"/>
    <w:rsid w:val="00D7067E"/>
    <w:rsid w:val="00D70997"/>
    <w:rsid w:val="00D71C09"/>
    <w:rsid w:val="00D720B1"/>
    <w:rsid w:val="00D74A95"/>
    <w:rsid w:val="00D75533"/>
    <w:rsid w:val="00D75FBB"/>
    <w:rsid w:val="00D7632B"/>
    <w:rsid w:val="00D76AFA"/>
    <w:rsid w:val="00D76B85"/>
    <w:rsid w:val="00D81A35"/>
    <w:rsid w:val="00D81F3C"/>
    <w:rsid w:val="00D84CAC"/>
    <w:rsid w:val="00D8640C"/>
    <w:rsid w:val="00D93B12"/>
    <w:rsid w:val="00D945B0"/>
    <w:rsid w:val="00D960A4"/>
    <w:rsid w:val="00D97A6F"/>
    <w:rsid w:val="00DA0F2A"/>
    <w:rsid w:val="00DA264D"/>
    <w:rsid w:val="00DA6B2A"/>
    <w:rsid w:val="00DA6DFC"/>
    <w:rsid w:val="00DA7745"/>
    <w:rsid w:val="00DB1B7E"/>
    <w:rsid w:val="00DB427D"/>
    <w:rsid w:val="00DB6839"/>
    <w:rsid w:val="00DB6DAF"/>
    <w:rsid w:val="00DC328B"/>
    <w:rsid w:val="00DC4258"/>
    <w:rsid w:val="00DC4D6D"/>
    <w:rsid w:val="00DC5C3C"/>
    <w:rsid w:val="00DC5DA6"/>
    <w:rsid w:val="00DC690E"/>
    <w:rsid w:val="00DD06E9"/>
    <w:rsid w:val="00DD3C29"/>
    <w:rsid w:val="00DD6A49"/>
    <w:rsid w:val="00DD75AA"/>
    <w:rsid w:val="00DE06AB"/>
    <w:rsid w:val="00DE09EF"/>
    <w:rsid w:val="00DE56D8"/>
    <w:rsid w:val="00DE62CC"/>
    <w:rsid w:val="00DE64F7"/>
    <w:rsid w:val="00DE7498"/>
    <w:rsid w:val="00DF1FF5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6910"/>
    <w:rsid w:val="00E10532"/>
    <w:rsid w:val="00E10A6A"/>
    <w:rsid w:val="00E10AA0"/>
    <w:rsid w:val="00E111FA"/>
    <w:rsid w:val="00E14314"/>
    <w:rsid w:val="00E16192"/>
    <w:rsid w:val="00E16BBC"/>
    <w:rsid w:val="00E17C8B"/>
    <w:rsid w:val="00E20DF6"/>
    <w:rsid w:val="00E230C6"/>
    <w:rsid w:val="00E24046"/>
    <w:rsid w:val="00E24493"/>
    <w:rsid w:val="00E26718"/>
    <w:rsid w:val="00E268B7"/>
    <w:rsid w:val="00E27154"/>
    <w:rsid w:val="00E306B6"/>
    <w:rsid w:val="00E30E5E"/>
    <w:rsid w:val="00E36FD0"/>
    <w:rsid w:val="00E373E7"/>
    <w:rsid w:val="00E37499"/>
    <w:rsid w:val="00E377C8"/>
    <w:rsid w:val="00E37EB8"/>
    <w:rsid w:val="00E37F83"/>
    <w:rsid w:val="00E43079"/>
    <w:rsid w:val="00E430D3"/>
    <w:rsid w:val="00E43E6E"/>
    <w:rsid w:val="00E44A41"/>
    <w:rsid w:val="00E4587A"/>
    <w:rsid w:val="00E46146"/>
    <w:rsid w:val="00E461F6"/>
    <w:rsid w:val="00E5132A"/>
    <w:rsid w:val="00E5203E"/>
    <w:rsid w:val="00E571F3"/>
    <w:rsid w:val="00E57C9D"/>
    <w:rsid w:val="00E602B2"/>
    <w:rsid w:val="00E60FB4"/>
    <w:rsid w:val="00E649A8"/>
    <w:rsid w:val="00E64CE5"/>
    <w:rsid w:val="00E64F04"/>
    <w:rsid w:val="00E65386"/>
    <w:rsid w:val="00E663F6"/>
    <w:rsid w:val="00E66550"/>
    <w:rsid w:val="00E665B4"/>
    <w:rsid w:val="00E71F20"/>
    <w:rsid w:val="00E73846"/>
    <w:rsid w:val="00E73D75"/>
    <w:rsid w:val="00E74904"/>
    <w:rsid w:val="00E7592F"/>
    <w:rsid w:val="00E75BA3"/>
    <w:rsid w:val="00E7673F"/>
    <w:rsid w:val="00E81238"/>
    <w:rsid w:val="00E818C1"/>
    <w:rsid w:val="00E848EE"/>
    <w:rsid w:val="00E9004D"/>
    <w:rsid w:val="00E900A8"/>
    <w:rsid w:val="00E90929"/>
    <w:rsid w:val="00E9207D"/>
    <w:rsid w:val="00E925C1"/>
    <w:rsid w:val="00E92B4E"/>
    <w:rsid w:val="00E933B1"/>
    <w:rsid w:val="00E934B0"/>
    <w:rsid w:val="00E93684"/>
    <w:rsid w:val="00E94C95"/>
    <w:rsid w:val="00E9613D"/>
    <w:rsid w:val="00EA1ED7"/>
    <w:rsid w:val="00EA2396"/>
    <w:rsid w:val="00EA2645"/>
    <w:rsid w:val="00EA2F00"/>
    <w:rsid w:val="00EA45EF"/>
    <w:rsid w:val="00EA50D2"/>
    <w:rsid w:val="00EA693E"/>
    <w:rsid w:val="00EA76C8"/>
    <w:rsid w:val="00EB01C5"/>
    <w:rsid w:val="00EB11D3"/>
    <w:rsid w:val="00EB2A9F"/>
    <w:rsid w:val="00EB2B2E"/>
    <w:rsid w:val="00EB301E"/>
    <w:rsid w:val="00EB3676"/>
    <w:rsid w:val="00EB7062"/>
    <w:rsid w:val="00EC146D"/>
    <w:rsid w:val="00EC1615"/>
    <w:rsid w:val="00EC16D2"/>
    <w:rsid w:val="00EC18EE"/>
    <w:rsid w:val="00EC53E6"/>
    <w:rsid w:val="00EC59B6"/>
    <w:rsid w:val="00EC6343"/>
    <w:rsid w:val="00EC6FD6"/>
    <w:rsid w:val="00EC7682"/>
    <w:rsid w:val="00EC7E5A"/>
    <w:rsid w:val="00ED1083"/>
    <w:rsid w:val="00ED1DED"/>
    <w:rsid w:val="00ED396E"/>
    <w:rsid w:val="00ED3C72"/>
    <w:rsid w:val="00ED41C1"/>
    <w:rsid w:val="00ED4FC2"/>
    <w:rsid w:val="00ED5689"/>
    <w:rsid w:val="00ED627F"/>
    <w:rsid w:val="00ED78D6"/>
    <w:rsid w:val="00EE0E7E"/>
    <w:rsid w:val="00EE4815"/>
    <w:rsid w:val="00EE5260"/>
    <w:rsid w:val="00EE718C"/>
    <w:rsid w:val="00EF04A2"/>
    <w:rsid w:val="00EF0526"/>
    <w:rsid w:val="00EF12EF"/>
    <w:rsid w:val="00EF28F9"/>
    <w:rsid w:val="00EF5010"/>
    <w:rsid w:val="00EF54F6"/>
    <w:rsid w:val="00EF5D9F"/>
    <w:rsid w:val="00EF78C2"/>
    <w:rsid w:val="00F006D9"/>
    <w:rsid w:val="00F00AAB"/>
    <w:rsid w:val="00F0171C"/>
    <w:rsid w:val="00F02C21"/>
    <w:rsid w:val="00F032B9"/>
    <w:rsid w:val="00F04002"/>
    <w:rsid w:val="00F04FA9"/>
    <w:rsid w:val="00F067FD"/>
    <w:rsid w:val="00F11A60"/>
    <w:rsid w:val="00F1202E"/>
    <w:rsid w:val="00F14475"/>
    <w:rsid w:val="00F1467C"/>
    <w:rsid w:val="00F14F1D"/>
    <w:rsid w:val="00F15DA4"/>
    <w:rsid w:val="00F17326"/>
    <w:rsid w:val="00F17515"/>
    <w:rsid w:val="00F218C0"/>
    <w:rsid w:val="00F22112"/>
    <w:rsid w:val="00F222FE"/>
    <w:rsid w:val="00F22319"/>
    <w:rsid w:val="00F2234E"/>
    <w:rsid w:val="00F237A6"/>
    <w:rsid w:val="00F24733"/>
    <w:rsid w:val="00F26B25"/>
    <w:rsid w:val="00F27B1F"/>
    <w:rsid w:val="00F3035C"/>
    <w:rsid w:val="00F32C8D"/>
    <w:rsid w:val="00F412A0"/>
    <w:rsid w:val="00F415DD"/>
    <w:rsid w:val="00F42707"/>
    <w:rsid w:val="00F430D6"/>
    <w:rsid w:val="00F4360B"/>
    <w:rsid w:val="00F43A1B"/>
    <w:rsid w:val="00F43C9F"/>
    <w:rsid w:val="00F43D97"/>
    <w:rsid w:val="00F448B6"/>
    <w:rsid w:val="00F45D2A"/>
    <w:rsid w:val="00F536C0"/>
    <w:rsid w:val="00F54E29"/>
    <w:rsid w:val="00F55163"/>
    <w:rsid w:val="00F55371"/>
    <w:rsid w:val="00F55832"/>
    <w:rsid w:val="00F56F2D"/>
    <w:rsid w:val="00F5745E"/>
    <w:rsid w:val="00F60878"/>
    <w:rsid w:val="00F61DF7"/>
    <w:rsid w:val="00F623A8"/>
    <w:rsid w:val="00F631B7"/>
    <w:rsid w:val="00F64D91"/>
    <w:rsid w:val="00F66203"/>
    <w:rsid w:val="00F66574"/>
    <w:rsid w:val="00F67068"/>
    <w:rsid w:val="00F676E9"/>
    <w:rsid w:val="00F70925"/>
    <w:rsid w:val="00F71CCE"/>
    <w:rsid w:val="00F7246E"/>
    <w:rsid w:val="00F72D4E"/>
    <w:rsid w:val="00F736D4"/>
    <w:rsid w:val="00F738FD"/>
    <w:rsid w:val="00F7482D"/>
    <w:rsid w:val="00F75488"/>
    <w:rsid w:val="00F75A82"/>
    <w:rsid w:val="00F77157"/>
    <w:rsid w:val="00F77BB7"/>
    <w:rsid w:val="00F80F5C"/>
    <w:rsid w:val="00F84A09"/>
    <w:rsid w:val="00F84BFB"/>
    <w:rsid w:val="00F86E8B"/>
    <w:rsid w:val="00F9242D"/>
    <w:rsid w:val="00F938AD"/>
    <w:rsid w:val="00F960E5"/>
    <w:rsid w:val="00F97C18"/>
    <w:rsid w:val="00FA032A"/>
    <w:rsid w:val="00FA0C44"/>
    <w:rsid w:val="00FA1D60"/>
    <w:rsid w:val="00FA21BA"/>
    <w:rsid w:val="00FA5862"/>
    <w:rsid w:val="00FA58B3"/>
    <w:rsid w:val="00FA6841"/>
    <w:rsid w:val="00FA6DC8"/>
    <w:rsid w:val="00FB0D83"/>
    <w:rsid w:val="00FB14EE"/>
    <w:rsid w:val="00FB3B87"/>
    <w:rsid w:val="00FB41F1"/>
    <w:rsid w:val="00FB64DC"/>
    <w:rsid w:val="00FB76CE"/>
    <w:rsid w:val="00FB77F2"/>
    <w:rsid w:val="00FC0054"/>
    <w:rsid w:val="00FC1844"/>
    <w:rsid w:val="00FC1AEA"/>
    <w:rsid w:val="00FC4C6B"/>
    <w:rsid w:val="00FC54A4"/>
    <w:rsid w:val="00FC6403"/>
    <w:rsid w:val="00FC642B"/>
    <w:rsid w:val="00FC7A58"/>
    <w:rsid w:val="00FD1BAA"/>
    <w:rsid w:val="00FD2FCD"/>
    <w:rsid w:val="00FD3A41"/>
    <w:rsid w:val="00FD3FBF"/>
    <w:rsid w:val="00FD4C58"/>
    <w:rsid w:val="00FE1315"/>
    <w:rsid w:val="00FF0D70"/>
    <w:rsid w:val="00FF3BE8"/>
    <w:rsid w:val="00FF4B45"/>
    <w:rsid w:val="00FF61F1"/>
    <w:rsid w:val="00FF6285"/>
    <w:rsid w:val="00FF6DAF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clear.com.l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Office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FA3F-9780-42A3-AFE1-8BC8BE4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44</cp:revision>
  <cp:lastPrinted>2010-06-01T06:06:00Z</cp:lastPrinted>
  <dcterms:created xsi:type="dcterms:W3CDTF">2010-07-02T09:30:00Z</dcterms:created>
  <dcterms:modified xsi:type="dcterms:W3CDTF">2013-10-16T20:52:00Z</dcterms:modified>
</cp:coreProperties>
</file>